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0F3E"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2EAF585" w14:textId="77777777" w:rsidTr="005F7F7E">
        <w:tc>
          <w:tcPr>
            <w:tcW w:w="2438" w:type="dxa"/>
            <w:shd w:val="clear" w:color="auto" w:fill="auto"/>
          </w:tcPr>
          <w:p w14:paraId="514F830E"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639F80" w14:textId="77777777" w:rsidR="00F445B1" w:rsidRPr="00F95BC9" w:rsidRDefault="00DB7AD7" w:rsidP="004A6D2F">
            <w:pPr>
              <w:rPr>
                <w:rStyle w:val="Firstpagetablebold"/>
              </w:rPr>
            </w:pPr>
            <w:r>
              <w:rPr>
                <w:rStyle w:val="Firstpagetablebold"/>
              </w:rPr>
              <w:t>Cabinet</w:t>
            </w:r>
          </w:p>
        </w:tc>
      </w:tr>
      <w:tr w:rsidR="00CE544A" w:rsidRPr="00975B07" w14:paraId="4DB8421C" w14:textId="77777777" w:rsidTr="005F7F7E">
        <w:tc>
          <w:tcPr>
            <w:tcW w:w="2438" w:type="dxa"/>
            <w:shd w:val="clear" w:color="auto" w:fill="auto"/>
          </w:tcPr>
          <w:p w14:paraId="3AD9F19E"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6170F71" w14:textId="7E311BA6" w:rsidR="00F445B1" w:rsidRPr="001356F1" w:rsidRDefault="00017004" w:rsidP="007B5CA2">
            <w:pPr>
              <w:rPr>
                <w:b/>
              </w:rPr>
            </w:pPr>
            <w:r>
              <w:rPr>
                <w:rStyle w:val="Firstpagetablebold"/>
              </w:rPr>
              <w:t>18 October 2023</w:t>
            </w:r>
          </w:p>
        </w:tc>
      </w:tr>
      <w:tr w:rsidR="00CE544A" w:rsidRPr="00E430A4" w14:paraId="683A87E1" w14:textId="77777777" w:rsidTr="005F7F7E">
        <w:tc>
          <w:tcPr>
            <w:tcW w:w="2438" w:type="dxa"/>
            <w:shd w:val="clear" w:color="auto" w:fill="auto"/>
          </w:tcPr>
          <w:p w14:paraId="30CD00C4"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43A33BD1" w14:textId="3EA70F87" w:rsidR="00F445B1" w:rsidRPr="00E430A4" w:rsidRDefault="00017004" w:rsidP="004A6D2F">
            <w:pPr>
              <w:rPr>
                <w:rStyle w:val="Firstpagetablebold"/>
              </w:rPr>
            </w:pPr>
            <w:r w:rsidRPr="00E430A4">
              <w:rPr>
                <w:rStyle w:val="Firstpagetablebold"/>
              </w:rPr>
              <w:t xml:space="preserve">Head of Corporate Strategy </w:t>
            </w:r>
          </w:p>
        </w:tc>
      </w:tr>
      <w:tr w:rsidR="00CE544A" w:rsidRPr="00E430A4" w14:paraId="28A86E55" w14:textId="77777777" w:rsidTr="005F7F7E">
        <w:tc>
          <w:tcPr>
            <w:tcW w:w="2438" w:type="dxa"/>
            <w:shd w:val="clear" w:color="auto" w:fill="auto"/>
          </w:tcPr>
          <w:p w14:paraId="287BC378"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2F068852" w14:textId="4AFE976F" w:rsidR="00F445B1" w:rsidRPr="00E430A4" w:rsidRDefault="00664CC7" w:rsidP="004A6D2F">
            <w:pPr>
              <w:rPr>
                <w:rStyle w:val="Firstpagetablebold"/>
              </w:rPr>
            </w:pPr>
            <w:r>
              <w:rPr>
                <w:rStyle w:val="Firstpagetablebold"/>
              </w:rPr>
              <w:t>Utilities</w:t>
            </w:r>
            <w:r w:rsidR="00017004" w:rsidRPr="00E430A4">
              <w:rPr>
                <w:rStyle w:val="Firstpagetablebold"/>
              </w:rPr>
              <w:t xml:space="preserve"> Procurement 2024 - 2028</w:t>
            </w:r>
          </w:p>
        </w:tc>
      </w:tr>
    </w:tbl>
    <w:p w14:paraId="609D83BA"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6B23E76" w14:textId="77777777" w:rsidTr="53F3534C">
        <w:tc>
          <w:tcPr>
            <w:tcW w:w="8845" w:type="dxa"/>
            <w:gridSpan w:val="2"/>
            <w:tcBorders>
              <w:bottom w:val="single" w:sz="8" w:space="0" w:color="000000" w:themeColor="text1"/>
            </w:tcBorders>
            <w:hideMark/>
          </w:tcPr>
          <w:p w14:paraId="15D3500A"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6FAEFE93" w14:textId="77777777" w:rsidTr="53F3534C">
        <w:tc>
          <w:tcPr>
            <w:tcW w:w="2438" w:type="dxa"/>
            <w:tcBorders>
              <w:top w:val="single" w:sz="8" w:space="0" w:color="000000" w:themeColor="text1"/>
              <w:left w:val="single" w:sz="8" w:space="0" w:color="000000" w:themeColor="text1"/>
              <w:bottom w:val="nil"/>
              <w:right w:val="nil"/>
            </w:tcBorders>
            <w:hideMark/>
          </w:tcPr>
          <w:p w14:paraId="5F1322DC" w14:textId="77777777" w:rsidR="00D5547E" w:rsidRDefault="00D5547E">
            <w:pPr>
              <w:rPr>
                <w:rStyle w:val="Firstpagetablebold"/>
              </w:rPr>
            </w:pPr>
            <w:r>
              <w:rPr>
                <w:rStyle w:val="Firstpagetablebold"/>
              </w:rPr>
              <w:t>Purpose of report:</w:t>
            </w:r>
          </w:p>
        </w:tc>
        <w:tc>
          <w:tcPr>
            <w:tcW w:w="6407" w:type="dxa"/>
            <w:tcBorders>
              <w:top w:val="single" w:sz="8" w:space="0" w:color="000000" w:themeColor="text1"/>
              <w:left w:val="nil"/>
              <w:bottom w:val="nil"/>
              <w:right w:val="single" w:sz="8" w:space="0" w:color="000000" w:themeColor="text1"/>
            </w:tcBorders>
            <w:hideMark/>
          </w:tcPr>
          <w:p w14:paraId="03BB2C58" w14:textId="1CF6AC88" w:rsidR="00017004" w:rsidRDefault="00017004" w:rsidP="00017004">
            <w:pPr>
              <w:autoSpaceDE w:val="0"/>
              <w:autoSpaceDN w:val="0"/>
              <w:adjustRightInd w:val="0"/>
              <w:spacing w:after="0"/>
              <w:rPr>
                <w:rFonts w:cs="Arial"/>
                <w:color w:val="auto"/>
              </w:rPr>
            </w:pPr>
            <w:r w:rsidRPr="53F3534C">
              <w:rPr>
                <w:rFonts w:cs="Arial"/>
                <w:color w:val="auto"/>
              </w:rPr>
              <w:t xml:space="preserve">To </w:t>
            </w:r>
            <w:r w:rsidR="004A0C79">
              <w:rPr>
                <w:rFonts w:cs="Arial"/>
                <w:color w:val="auto"/>
              </w:rPr>
              <w:t xml:space="preserve">seek </w:t>
            </w:r>
            <w:r w:rsidR="00420548" w:rsidRPr="53F3534C">
              <w:rPr>
                <w:rFonts w:cs="Arial"/>
                <w:color w:val="auto"/>
              </w:rPr>
              <w:t>delegate</w:t>
            </w:r>
            <w:r w:rsidR="004A0C79">
              <w:rPr>
                <w:rFonts w:cs="Arial"/>
                <w:color w:val="auto"/>
              </w:rPr>
              <w:t>d</w:t>
            </w:r>
            <w:r w:rsidR="00420548" w:rsidRPr="53F3534C">
              <w:rPr>
                <w:rFonts w:cs="Arial"/>
                <w:color w:val="auto"/>
              </w:rPr>
              <w:t xml:space="preserve"> </w:t>
            </w:r>
            <w:r w:rsidR="004A0C79">
              <w:rPr>
                <w:rFonts w:cs="Arial"/>
                <w:color w:val="auto"/>
              </w:rPr>
              <w:t>authority</w:t>
            </w:r>
            <w:r w:rsidR="00420548" w:rsidRPr="53F3534C">
              <w:rPr>
                <w:rFonts w:cs="Arial"/>
                <w:color w:val="auto"/>
              </w:rPr>
              <w:t xml:space="preserve"> to the Head of Corporate Strategy</w:t>
            </w:r>
            <w:r w:rsidR="004A0C79">
              <w:rPr>
                <w:rFonts w:cs="Arial"/>
                <w:color w:val="auto"/>
              </w:rPr>
              <w:t>,</w:t>
            </w:r>
            <w:r w:rsidR="00420548" w:rsidRPr="53F3534C">
              <w:rPr>
                <w:rFonts w:cs="Arial"/>
                <w:color w:val="auto"/>
              </w:rPr>
              <w:t xml:space="preserve"> </w:t>
            </w:r>
            <w:r w:rsidR="3F7530E9" w:rsidRPr="53F3534C">
              <w:rPr>
                <w:rFonts w:cs="Arial"/>
                <w:color w:val="auto"/>
              </w:rPr>
              <w:t>in consultation with the Section 151 Officer</w:t>
            </w:r>
            <w:r w:rsidR="004A0C79">
              <w:rPr>
                <w:rFonts w:cs="Arial"/>
                <w:color w:val="auto"/>
              </w:rPr>
              <w:t xml:space="preserve">, </w:t>
            </w:r>
            <w:r w:rsidR="004A0C79" w:rsidRPr="53F3534C">
              <w:rPr>
                <w:rFonts w:cs="Arial"/>
                <w:color w:val="auto"/>
              </w:rPr>
              <w:t>to approve contracts for gas and electricity</w:t>
            </w:r>
            <w:r w:rsidR="3F7530E9" w:rsidRPr="53F3534C">
              <w:rPr>
                <w:rFonts w:cs="Arial"/>
                <w:color w:val="auto"/>
              </w:rPr>
              <w:t xml:space="preserve"> </w:t>
            </w:r>
            <w:r w:rsidR="00420548" w:rsidRPr="53F3534C">
              <w:rPr>
                <w:rFonts w:cs="Arial"/>
                <w:color w:val="auto"/>
              </w:rPr>
              <w:t xml:space="preserve">and agree to extend the current contract for water utilities. </w:t>
            </w:r>
          </w:p>
          <w:p w14:paraId="2A4663D4" w14:textId="77777777" w:rsidR="004A0C79" w:rsidRPr="00E430A4" w:rsidRDefault="004A0C79" w:rsidP="00017004">
            <w:pPr>
              <w:autoSpaceDE w:val="0"/>
              <w:autoSpaceDN w:val="0"/>
              <w:adjustRightInd w:val="0"/>
              <w:spacing w:after="0"/>
            </w:pPr>
          </w:p>
          <w:p w14:paraId="7C2D44A2" w14:textId="14AE1060" w:rsidR="00D5547E" w:rsidRPr="00E430A4" w:rsidRDefault="00D5547E" w:rsidP="00017004"/>
        </w:tc>
      </w:tr>
      <w:tr w:rsidR="00D5547E" w14:paraId="44D7800E" w14:textId="77777777" w:rsidTr="53F3534C">
        <w:tc>
          <w:tcPr>
            <w:tcW w:w="2438" w:type="dxa"/>
            <w:tcBorders>
              <w:top w:val="nil"/>
              <w:left w:val="single" w:sz="8" w:space="0" w:color="000000" w:themeColor="text1"/>
              <w:bottom w:val="nil"/>
              <w:right w:val="nil"/>
            </w:tcBorders>
            <w:hideMark/>
          </w:tcPr>
          <w:p w14:paraId="276933D5"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hemeColor="text1"/>
            </w:tcBorders>
            <w:hideMark/>
          </w:tcPr>
          <w:p w14:paraId="09F6318C" w14:textId="2849D4E9" w:rsidR="00D5547E" w:rsidRPr="00E430A4" w:rsidRDefault="00D5547E" w:rsidP="005F7F7E">
            <w:r w:rsidRPr="00E430A4">
              <w:t xml:space="preserve">Yes </w:t>
            </w:r>
          </w:p>
        </w:tc>
      </w:tr>
      <w:tr w:rsidR="00D5547E" w14:paraId="0667910F" w14:textId="77777777" w:rsidTr="53F3534C">
        <w:tc>
          <w:tcPr>
            <w:tcW w:w="2438" w:type="dxa"/>
            <w:tcBorders>
              <w:top w:val="nil"/>
              <w:left w:val="single" w:sz="8" w:space="0" w:color="000000" w:themeColor="text1"/>
              <w:bottom w:val="nil"/>
              <w:right w:val="nil"/>
            </w:tcBorders>
            <w:hideMark/>
          </w:tcPr>
          <w:p w14:paraId="1A587BC5"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hemeColor="text1"/>
            </w:tcBorders>
            <w:hideMark/>
          </w:tcPr>
          <w:p w14:paraId="4F90F082" w14:textId="537D5595" w:rsidR="00D5547E" w:rsidRPr="00E430A4" w:rsidRDefault="00017004" w:rsidP="005F7F7E">
            <w:r w:rsidRPr="00E430A4">
              <w:t>Cllr Anna Railton, Cabinet Member for Zero Carbon Oxford and Climate Justice</w:t>
            </w:r>
          </w:p>
        </w:tc>
      </w:tr>
      <w:tr w:rsidR="0080749A" w14:paraId="5EDD3D60" w14:textId="77777777" w:rsidTr="53F3534C">
        <w:tc>
          <w:tcPr>
            <w:tcW w:w="2438" w:type="dxa"/>
            <w:tcBorders>
              <w:top w:val="nil"/>
              <w:left w:val="single" w:sz="8" w:space="0" w:color="000000" w:themeColor="text1"/>
              <w:bottom w:val="nil"/>
              <w:right w:val="nil"/>
            </w:tcBorders>
          </w:tcPr>
          <w:p w14:paraId="4E349A28"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hemeColor="text1"/>
            </w:tcBorders>
          </w:tcPr>
          <w:p w14:paraId="530AC2BA" w14:textId="0265DB6C" w:rsidR="0080749A" w:rsidRPr="001356F1" w:rsidRDefault="00017004" w:rsidP="005F7F7E">
            <w:r>
              <w:t xml:space="preserve">Pursue a </w:t>
            </w:r>
            <w:r w:rsidR="00DC24CB">
              <w:t>Z</w:t>
            </w:r>
            <w:r>
              <w:t xml:space="preserve">ero </w:t>
            </w:r>
            <w:r w:rsidR="00DC24CB">
              <w:t>C</w:t>
            </w:r>
            <w:r>
              <w:t xml:space="preserve">arbon Oxford </w:t>
            </w:r>
          </w:p>
        </w:tc>
      </w:tr>
      <w:tr w:rsidR="00D5547E" w14:paraId="02D9EF9F" w14:textId="77777777" w:rsidTr="53F3534C">
        <w:tc>
          <w:tcPr>
            <w:tcW w:w="2438" w:type="dxa"/>
            <w:tcBorders>
              <w:top w:val="nil"/>
              <w:left w:val="single" w:sz="8" w:space="0" w:color="000000" w:themeColor="text1"/>
              <w:bottom w:val="single" w:sz="4" w:space="0" w:color="auto"/>
              <w:right w:val="nil"/>
            </w:tcBorders>
            <w:hideMark/>
          </w:tcPr>
          <w:p w14:paraId="6888639D" w14:textId="77777777" w:rsidR="00D5547E" w:rsidRDefault="00D5547E">
            <w:pPr>
              <w:rPr>
                <w:rStyle w:val="Firstpagetablebold"/>
              </w:rPr>
            </w:pPr>
            <w:r>
              <w:rPr>
                <w:rStyle w:val="Firstpagetablebold"/>
              </w:rPr>
              <w:t>Policy Framework:</w:t>
            </w:r>
          </w:p>
        </w:tc>
        <w:tc>
          <w:tcPr>
            <w:tcW w:w="6407" w:type="dxa"/>
            <w:tcBorders>
              <w:top w:val="nil"/>
              <w:left w:val="nil"/>
              <w:bottom w:val="single" w:sz="4" w:space="0" w:color="auto"/>
              <w:right w:val="single" w:sz="8" w:space="0" w:color="000000" w:themeColor="text1"/>
            </w:tcBorders>
            <w:hideMark/>
          </w:tcPr>
          <w:p w14:paraId="536272C6" w14:textId="077D9512" w:rsidR="00D5547E" w:rsidRPr="001356F1" w:rsidRDefault="00017004" w:rsidP="005F7F7E">
            <w:r>
              <w:t>Corporate Strategy 2020 - 2024</w:t>
            </w:r>
          </w:p>
        </w:tc>
      </w:tr>
    </w:tbl>
    <w:p w14:paraId="7DCA6A7E" w14:textId="77777777" w:rsidR="00CE544A"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8419"/>
      </w:tblGrid>
      <w:tr w:rsidR="0097170F" w:rsidRPr="00975B07" w14:paraId="7C87490B" w14:textId="77777777" w:rsidTr="53F3534C">
        <w:trPr>
          <w:trHeight w:val="413"/>
        </w:trPr>
        <w:tc>
          <w:tcPr>
            <w:tcW w:w="8845" w:type="dxa"/>
            <w:gridSpan w:val="2"/>
            <w:tcBorders>
              <w:bottom w:val="single" w:sz="8" w:space="0" w:color="000000" w:themeColor="text1"/>
            </w:tcBorders>
          </w:tcPr>
          <w:p w14:paraId="59646BC5" w14:textId="4DC1A4F5" w:rsidR="0097170F" w:rsidRPr="00975B07" w:rsidRDefault="0097170F">
            <w:r w:rsidRPr="006C7415">
              <w:rPr>
                <w:rStyle w:val="Firstpagetablebold"/>
              </w:rPr>
              <w:t>Recommendations:</w:t>
            </w:r>
            <w:r w:rsidR="004A0C79">
              <w:rPr>
                <w:rStyle w:val="Firstpagetablebold"/>
              </w:rPr>
              <w:t xml:space="preserve"> </w:t>
            </w:r>
            <w:r w:rsidRPr="006C7415">
              <w:rPr>
                <w:rStyle w:val="Firstpagetablebold"/>
                <w:b w:val="0"/>
              </w:rPr>
              <w:t>That</w:t>
            </w:r>
            <w:r w:rsidRPr="008954DF">
              <w:rPr>
                <w:rStyle w:val="Firstpagetablebold"/>
                <w:b w:val="0"/>
              </w:rPr>
              <w:t xml:space="preserve"> Cabinet resolves to:</w:t>
            </w:r>
          </w:p>
        </w:tc>
      </w:tr>
      <w:tr w:rsidR="00664CC7" w:rsidRPr="00975B07" w14:paraId="119F3081" w14:textId="77777777" w:rsidTr="53F3534C">
        <w:trPr>
          <w:trHeight w:val="283"/>
        </w:trPr>
        <w:tc>
          <w:tcPr>
            <w:tcW w:w="426" w:type="dxa"/>
            <w:tcBorders>
              <w:top w:val="single" w:sz="8" w:space="0" w:color="000000" w:themeColor="text1"/>
              <w:left w:val="single" w:sz="8" w:space="0" w:color="000000" w:themeColor="text1"/>
              <w:bottom w:val="nil"/>
              <w:right w:val="nil"/>
            </w:tcBorders>
          </w:tcPr>
          <w:p w14:paraId="6D0A1B16" w14:textId="77777777" w:rsidR="00664CC7" w:rsidRPr="00975B07" w:rsidRDefault="00664CC7">
            <w:r w:rsidRPr="00975B07">
              <w:t>1.</w:t>
            </w:r>
          </w:p>
        </w:tc>
        <w:tc>
          <w:tcPr>
            <w:tcW w:w="8419" w:type="dxa"/>
            <w:tcBorders>
              <w:top w:val="nil"/>
              <w:left w:val="nil"/>
              <w:bottom w:val="nil"/>
              <w:right w:val="single" w:sz="8" w:space="0" w:color="000000" w:themeColor="text1"/>
            </w:tcBorders>
            <w:shd w:val="clear" w:color="auto" w:fill="auto"/>
          </w:tcPr>
          <w:p w14:paraId="15E4C659" w14:textId="501BAB7E" w:rsidR="00664CC7" w:rsidRDefault="00664CC7" w:rsidP="53F3534C">
            <w:pPr>
              <w:rPr>
                <w:rStyle w:val="Firstpagetablebold"/>
                <w:b w:val="0"/>
                <w:color w:val="auto"/>
              </w:rPr>
            </w:pPr>
            <w:r w:rsidRPr="53F3534C">
              <w:rPr>
                <w:rStyle w:val="Firstpagetablebold"/>
                <w:color w:val="auto"/>
              </w:rPr>
              <w:t>Delegate</w:t>
            </w:r>
            <w:r w:rsidR="004A0C79">
              <w:rPr>
                <w:rStyle w:val="Firstpagetablebold"/>
                <w:color w:val="auto"/>
              </w:rPr>
              <w:t xml:space="preserve"> </w:t>
            </w:r>
            <w:r w:rsidR="004A0C79">
              <w:rPr>
                <w:rStyle w:val="Firstpagetablebold"/>
              </w:rPr>
              <w:t>authority</w:t>
            </w:r>
            <w:r w:rsidRPr="53F3534C">
              <w:rPr>
                <w:rStyle w:val="Firstpagetablebold"/>
                <w:color w:val="auto"/>
              </w:rPr>
              <w:t xml:space="preserve"> </w:t>
            </w:r>
            <w:r w:rsidRPr="53F3534C">
              <w:rPr>
                <w:rStyle w:val="Firstpagetablebold"/>
                <w:b w:val="0"/>
                <w:color w:val="auto"/>
              </w:rPr>
              <w:t>to the Head of Corporate Strategy</w:t>
            </w:r>
            <w:r w:rsidR="60248501" w:rsidRPr="53F3534C">
              <w:rPr>
                <w:rStyle w:val="Firstpagetablebold"/>
                <w:b w:val="0"/>
                <w:color w:val="auto"/>
              </w:rPr>
              <w:t>, in consultation with the Section 151 Officer</w:t>
            </w:r>
            <w:r w:rsidR="004A0C79">
              <w:rPr>
                <w:rStyle w:val="Firstpagetablebold"/>
                <w:b w:val="0"/>
                <w:color w:val="auto"/>
              </w:rPr>
              <w:t xml:space="preserve">, </w:t>
            </w:r>
            <w:r w:rsidRPr="53F3534C">
              <w:rPr>
                <w:rStyle w:val="Firstpagetablebold"/>
                <w:b w:val="0"/>
                <w:color w:val="auto"/>
              </w:rPr>
              <w:t xml:space="preserve">to: </w:t>
            </w:r>
          </w:p>
          <w:p w14:paraId="2A5B8727" w14:textId="507909D8" w:rsidR="00664CC7" w:rsidRDefault="00664CC7" w:rsidP="00017004">
            <w:pPr>
              <w:pStyle w:val="ListParagraph"/>
              <w:numPr>
                <w:ilvl w:val="0"/>
                <w:numId w:val="10"/>
              </w:numPr>
              <w:rPr>
                <w:rStyle w:val="Firstpagetablebold"/>
                <w:b w:val="0"/>
                <w:bCs/>
                <w:color w:val="auto"/>
              </w:rPr>
            </w:pPr>
            <w:r>
              <w:rPr>
                <w:rStyle w:val="Firstpagetablebold"/>
                <w:b w:val="0"/>
                <w:bCs/>
                <w:color w:val="auto"/>
              </w:rPr>
              <w:t>Decide the</w:t>
            </w:r>
            <w:r w:rsidRPr="006D702A">
              <w:rPr>
                <w:rStyle w:val="Firstpagetablebold"/>
                <w:b w:val="0"/>
                <w:bCs/>
                <w:color w:val="auto"/>
              </w:rPr>
              <w:t xml:space="preserve"> </w:t>
            </w:r>
            <w:r>
              <w:rPr>
                <w:rStyle w:val="Firstpagetablebold"/>
                <w:b w:val="0"/>
                <w:bCs/>
                <w:color w:val="auto"/>
              </w:rPr>
              <w:t xml:space="preserve">procurement </w:t>
            </w:r>
            <w:r w:rsidRPr="005823F6">
              <w:rPr>
                <w:rStyle w:val="Firstpagetablebold"/>
                <w:b w:val="0"/>
                <w:bCs/>
                <w:color w:val="auto"/>
              </w:rPr>
              <w:t>r</w:t>
            </w:r>
            <w:r w:rsidRPr="00664CC7">
              <w:rPr>
                <w:rStyle w:val="Firstpagetablebold"/>
                <w:b w:val="0"/>
                <w:bCs/>
              </w:rPr>
              <w:t>oute</w:t>
            </w:r>
            <w:r>
              <w:rPr>
                <w:rStyle w:val="Firstpagetablebold"/>
                <w:b w:val="0"/>
                <w:bCs/>
                <w:color w:val="auto"/>
              </w:rPr>
              <w:t xml:space="preserve"> for purchasing the supply of gas and electricity from October 2024</w:t>
            </w:r>
          </w:p>
          <w:p w14:paraId="37BE1101" w14:textId="3E45A005" w:rsidR="00664CC7" w:rsidRPr="00664CC7" w:rsidRDefault="00664CC7" w:rsidP="00017004">
            <w:pPr>
              <w:pStyle w:val="ListParagraph"/>
              <w:numPr>
                <w:ilvl w:val="0"/>
                <w:numId w:val="10"/>
              </w:numPr>
              <w:rPr>
                <w:bCs/>
                <w:color w:val="auto"/>
              </w:rPr>
            </w:pPr>
            <w:r w:rsidRPr="00664CC7">
              <w:rPr>
                <w:rStyle w:val="Firstpagetablebold"/>
                <w:b w:val="0"/>
                <w:bCs/>
                <w:color w:val="auto"/>
              </w:rPr>
              <w:t>Agree to enter into contracts for gas and electricity, subject to a maximum term of four years from October 2024</w:t>
            </w:r>
            <w:r w:rsidR="004A0C79">
              <w:rPr>
                <w:rStyle w:val="Firstpagetablebold"/>
                <w:b w:val="0"/>
                <w:bCs/>
                <w:color w:val="auto"/>
              </w:rPr>
              <w:t>;</w:t>
            </w:r>
          </w:p>
        </w:tc>
      </w:tr>
      <w:tr w:rsidR="00664CC7" w:rsidRPr="00975B07" w14:paraId="4C938689" w14:textId="77777777" w:rsidTr="53F3534C">
        <w:trPr>
          <w:trHeight w:val="283"/>
        </w:trPr>
        <w:tc>
          <w:tcPr>
            <w:tcW w:w="426" w:type="dxa"/>
            <w:tcBorders>
              <w:top w:val="nil"/>
              <w:left w:val="single" w:sz="8" w:space="0" w:color="000000" w:themeColor="text1"/>
              <w:bottom w:val="nil"/>
              <w:right w:val="nil"/>
            </w:tcBorders>
          </w:tcPr>
          <w:p w14:paraId="23146FE0" w14:textId="77777777" w:rsidR="00664CC7" w:rsidRPr="00975B07" w:rsidRDefault="00664CC7" w:rsidP="00372357">
            <w:r w:rsidRPr="00975B07">
              <w:t>2.</w:t>
            </w:r>
          </w:p>
        </w:tc>
        <w:tc>
          <w:tcPr>
            <w:tcW w:w="8419" w:type="dxa"/>
            <w:tcBorders>
              <w:top w:val="nil"/>
              <w:left w:val="nil"/>
              <w:bottom w:val="nil"/>
              <w:right w:val="single" w:sz="8" w:space="0" w:color="000000" w:themeColor="text1"/>
            </w:tcBorders>
            <w:shd w:val="clear" w:color="auto" w:fill="auto"/>
          </w:tcPr>
          <w:p w14:paraId="6214A1E4" w14:textId="421F8498" w:rsidR="00664CC7" w:rsidRPr="00664CC7" w:rsidRDefault="00664CC7" w:rsidP="00664CC7">
            <w:pPr>
              <w:rPr>
                <w:bCs/>
                <w:color w:val="auto"/>
              </w:rPr>
            </w:pPr>
            <w:r w:rsidRPr="00664CC7">
              <w:rPr>
                <w:b/>
                <w:bCs/>
              </w:rPr>
              <w:t xml:space="preserve">Approve </w:t>
            </w:r>
            <w:r w:rsidRPr="009868C7">
              <w:t>the</w:t>
            </w:r>
            <w:r w:rsidRPr="00664CC7">
              <w:rPr>
                <w:b/>
                <w:bCs/>
              </w:rPr>
              <w:t xml:space="preserve"> </w:t>
            </w:r>
            <w:r w:rsidRPr="009868C7">
              <w:t xml:space="preserve">extension of the Council’s water </w:t>
            </w:r>
            <w:r w:rsidRPr="00664CC7">
              <w:t>contract with Wave for a further two years</w:t>
            </w:r>
            <w:r w:rsidR="004A0C79" w:rsidRPr="004A0C79">
              <w:rPr>
                <w:bCs/>
              </w:rPr>
              <w:t>; and</w:t>
            </w:r>
          </w:p>
        </w:tc>
      </w:tr>
      <w:tr w:rsidR="00664CC7" w:rsidRPr="00975B07" w14:paraId="57C54809" w14:textId="77777777" w:rsidTr="53F3534C">
        <w:trPr>
          <w:trHeight w:val="283"/>
        </w:trPr>
        <w:tc>
          <w:tcPr>
            <w:tcW w:w="426" w:type="dxa"/>
            <w:tcBorders>
              <w:top w:val="nil"/>
              <w:left w:val="single" w:sz="8" w:space="0" w:color="000000" w:themeColor="text1"/>
              <w:bottom w:val="single" w:sz="4" w:space="0" w:color="auto"/>
              <w:right w:val="nil"/>
            </w:tcBorders>
          </w:tcPr>
          <w:p w14:paraId="0FED3F3C" w14:textId="74DA99C8" w:rsidR="00664CC7" w:rsidRPr="00975B07" w:rsidRDefault="00664CC7" w:rsidP="00CE6EC0">
            <w:r>
              <w:t>3</w:t>
            </w:r>
          </w:p>
        </w:tc>
        <w:tc>
          <w:tcPr>
            <w:tcW w:w="8419" w:type="dxa"/>
            <w:tcBorders>
              <w:top w:val="nil"/>
              <w:left w:val="nil"/>
              <w:bottom w:val="single" w:sz="4" w:space="0" w:color="auto"/>
              <w:right w:val="single" w:sz="8" w:space="0" w:color="000000" w:themeColor="text1"/>
            </w:tcBorders>
            <w:shd w:val="clear" w:color="auto" w:fill="auto"/>
          </w:tcPr>
          <w:p w14:paraId="1B9FAD3A" w14:textId="5C921983" w:rsidR="00664CC7" w:rsidRDefault="00664CC7" w:rsidP="00CE6EC0">
            <w:pPr>
              <w:rPr>
                <w:b/>
                <w:color w:val="auto"/>
              </w:rPr>
            </w:pPr>
            <w:r w:rsidRPr="009868C7">
              <w:rPr>
                <w:b/>
                <w:bCs/>
              </w:rPr>
              <w:t>Note</w:t>
            </w:r>
            <w:r w:rsidRPr="009868C7">
              <w:t xml:space="preserve"> </w:t>
            </w:r>
            <w:r w:rsidR="004A0C79">
              <w:t xml:space="preserve">the </w:t>
            </w:r>
            <w:r w:rsidRPr="009868C7">
              <w:t xml:space="preserve">proposal to </w:t>
            </w:r>
            <w:r>
              <w:t>undertake an Energy Procurement R</w:t>
            </w:r>
            <w:r w:rsidRPr="009868C7">
              <w:t xml:space="preserve">eview </w:t>
            </w:r>
            <w:r>
              <w:t>to inform the Council’s longer-term approach (from 2027 onwards)</w:t>
            </w:r>
            <w:r w:rsidR="004A0C79">
              <w:t>.</w:t>
            </w:r>
          </w:p>
        </w:tc>
      </w:tr>
    </w:tbl>
    <w:p w14:paraId="72E20465" w14:textId="5DEB40A4" w:rsidR="004A0C79" w:rsidRDefault="004A0C79" w:rsidP="004A6D2F"/>
    <w:p w14:paraId="251BCDCA" w14:textId="77777777" w:rsidR="004A0C79" w:rsidRDefault="004A0C79">
      <w:pPr>
        <w:spacing w:after="0"/>
      </w:pPr>
      <w:r>
        <w:br w:type="page"/>
      </w:r>
    </w:p>
    <w:p w14:paraId="7B3C9349" w14:textId="77777777" w:rsidR="0097170F" w:rsidRPr="009E51FC" w:rsidRDefault="0097170F"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2C9AAF6D"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63CF8E80" w14:textId="77777777" w:rsidR="00966D42" w:rsidRPr="00975B07" w:rsidRDefault="00966D42" w:rsidP="00263EA3">
            <w:pPr>
              <w:jc w:val="center"/>
            </w:pPr>
            <w:r w:rsidRPr="00745BF0">
              <w:rPr>
                <w:rStyle w:val="Firstpagetablebold"/>
              </w:rPr>
              <w:t>Appendices</w:t>
            </w:r>
          </w:p>
        </w:tc>
      </w:tr>
      <w:tr w:rsidR="00664CC7" w:rsidRPr="00975B07" w14:paraId="0692B989" w14:textId="77777777" w:rsidTr="007820A9">
        <w:tc>
          <w:tcPr>
            <w:tcW w:w="2438" w:type="dxa"/>
            <w:tcBorders>
              <w:top w:val="nil"/>
              <w:left w:val="single" w:sz="8" w:space="0" w:color="000000"/>
              <w:bottom w:val="nil"/>
              <w:right w:val="nil"/>
            </w:tcBorders>
            <w:shd w:val="clear" w:color="auto" w:fill="auto"/>
          </w:tcPr>
          <w:p w14:paraId="4548A3CA" w14:textId="70BF1623" w:rsidR="00664CC7" w:rsidRPr="00975B07" w:rsidRDefault="00664CC7" w:rsidP="004A6D2F">
            <w:r w:rsidRPr="00975B07">
              <w:t xml:space="preserve">Appendix </w:t>
            </w:r>
            <w:r>
              <w:t>1</w:t>
            </w:r>
          </w:p>
        </w:tc>
        <w:tc>
          <w:tcPr>
            <w:tcW w:w="6406" w:type="dxa"/>
            <w:tcBorders>
              <w:top w:val="nil"/>
              <w:left w:val="nil"/>
              <w:bottom w:val="nil"/>
              <w:right w:val="single" w:sz="8" w:space="0" w:color="000000"/>
            </w:tcBorders>
          </w:tcPr>
          <w:p w14:paraId="0EC06942" w14:textId="624EBE35" w:rsidR="00664CC7" w:rsidRPr="001356F1" w:rsidRDefault="00783DD8" w:rsidP="004A6D2F">
            <w:r>
              <w:t xml:space="preserve">The LGA’s list of </w:t>
            </w:r>
            <w:r w:rsidR="00664CC7">
              <w:t>P</w:t>
            </w:r>
            <w:r>
              <w:t xml:space="preserve">ublic Buying Organisations </w:t>
            </w:r>
            <w:r w:rsidR="00664CC7">
              <w:t>offering energy service frameworks</w:t>
            </w:r>
          </w:p>
        </w:tc>
      </w:tr>
      <w:tr w:rsidR="00664CC7" w:rsidRPr="00975B07" w14:paraId="5D4151F5" w14:textId="77777777" w:rsidTr="007820A9">
        <w:tc>
          <w:tcPr>
            <w:tcW w:w="2438" w:type="dxa"/>
            <w:tcBorders>
              <w:top w:val="nil"/>
              <w:left w:val="single" w:sz="8" w:space="0" w:color="000000"/>
              <w:bottom w:val="single" w:sz="8" w:space="0" w:color="000000"/>
              <w:right w:val="nil"/>
            </w:tcBorders>
            <w:shd w:val="clear" w:color="auto" w:fill="auto"/>
          </w:tcPr>
          <w:p w14:paraId="45E464DB" w14:textId="3DF617E8" w:rsidR="00664CC7" w:rsidRPr="00975B07" w:rsidRDefault="00664CC7" w:rsidP="004A6D2F">
            <w:r>
              <w:t>Appendix 2</w:t>
            </w:r>
          </w:p>
        </w:tc>
        <w:tc>
          <w:tcPr>
            <w:tcW w:w="6406" w:type="dxa"/>
            <w:tcBorders>
              <w:top w:val="nil"/>
              <w:left w:val="nil"/>
              <w:bottom w:val="single" w:sz="8" w:space="0" w:color="000000"/>
              <w:right w:val="single" w:sz="8" w:space="0" w:color="000000"/>
            </w:tcBorders>
          </w:tcPr>
          <w:p w14:paraId="65FE0637" w14:textId="544D6C77" w:rsidR="00664CC7" w:rsidRPr="001356F1" w:rsidRDefault="00664CC7" w:rsidP="004A6D2F">
            <w:r>
              <w:t xml:space="preserve">Risk Register </w:t>
            </w:r>
          </w:p>
        </w:tc>
      </w:tr>
    </w:tbl>
    <w:p w14:paraId="2FC2232D"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17835320" w14:textId="6D225C2E" w:rsidR="00635790" w:rsidRPr="006F6F17" w:rsidRDefault="00635790" w:rsidP="53F3534C">
      <w:pPr>
        <w:pStyle w:val="bParagraphtext"/>
        <w:rPr>
          <w:rFonts w:cstheme="minorBidi"/>
        </w:rPr>
      </w:pPr>
      <w:r>
        <w:t xml:space="preserve">Since 2004, </w:t>
      </w:r>
      <w:r w:rsidRPr="53F3534C">
        <w:rPr>
          <w:rFonts w:cstheme="minorBidi"/>
        </w:rPr>
        <w:t>LASER (Local Authority South East Region</w:t>
      </w:r>
      <w:r w:rsidR="00EA06EA" w:rsidRPr="53F3534C">
        <w:rPr>
          <w:rFonts w:cstheme="minorBidi"/>
        </w:rPr>
        <w:t>),</w:t>
      </w:r>
      <w:r w:rsidRPr="53F3534C">
        <w:rPr>
          <w:rFonts w:cstheme="minorBidi"/>
        </w:rPr>
        <w:t xml:space="preserve"> has provided energy procurement </w:t>
      </w:r>
      <w:r w:rsidR="00EA06EA" w:rsidRPr="53F3534C">
        <w:rPr>
          <w:rFonts w:cstheme="minorBidi"/>
        </w:rPr>
        <w:t>s</w:t>
      </w:r>
      <w:r w:rsidRPr="53F3534C">
        <w:rPr>
          <w:rFonts w:cstheme="minorBidi"/>
        </w:rPr>
        <w:t xml:space="preserve">ervices for the </w:t>
      </w:r>
      <w:r w:rsidR="00F23C8F" w:rsidRPr="53F3534C">
        <w:rPr>
          <w:rFonts w:cstheme="minorBidi"/>
        </w:rPr>
        <w:t>Council</w:t>
      </w:r>
      <w:r w:rsidR="00A87B20" w:rsidRPr="53F3534C">
        <w:rPr>
          <w:rFonts w:cstheme="minorBidi"/>
        </w:rPr>
        <w:t xml:space="preserve">. </w:t>
      </w:r>
      <w:r w:rsidR="00EA06EA" w:rsidRPr="53F3534C">
        <w:rPr>
          <w:rFonts w:cstheme="minorBidi"/>
        </w:rPr>
        <w:t xml:space="preserve">LASER is </w:t>
      </w:r>
      <w:r w:rsidR="36DA7830" w:rsidRPr="53F3534C">
        <w:rPr>
          <w:rFonts w:cstheme="minorBidi"/>
        </w:rPr>
        <w:t xml:space="preserve">a Public Buying Organisation offering energy services and is </w:t>
      </w:r>
      <w:r w:rsidR="00041AA2" w:rsidRPr="53F3534C">
        <w:rPr>
          <w:rFonts w:cstheme="minorBidi"/>
        </w:rPr>
        <w:t xml:space="preserve">part </w:t>
      </w:r>
      <w:r w:rsidR="00EA06EA" w:rsidRPr="53F3534C">
        <w:rPr>
          <w:rFonts w:cstheme="minorBidi"/>
        </w:rPr>
        <w:t xml:space="preserve">of Kent County Council. </w:t>
      </w:r>
      <w:r w:rsidR="00A87B20" w:rsidRPr="53F3534C">
        <w:rPr>
          <w:rFonts w:cstheme="minorBidi"/>
        </w:rPr>
        <w:t>Since 2017 the Council has</w:t>
      </w:r>
      <w:r w:rsidR="00EA06EA" w:rsidRPr="53F3534C">
        <w:rPr>
          <w:rFonts w:cstheme="minorBidi"/>
        </w:rPr>
        <w:t xml:space="preserve"> also</w:t>
      </w:r>
      <w:r w:rsidR="00A87B20" w:rsidRPr="53F3534C">
        <w:rPr>
          <w:rFonts w:cstheme="minorBidi"/>
        </w:rPr>
        <w:t xml:space="preserve"> accessed LAS</w:t>
      </w:r>
      <w:r w:rsidR="00124C98" w:rsidRPr="53F3534C">
        <w:rPr>
          <w:rFonts w:cstheme="minorBidi"/>
        </w:rPr>
        <w:t>E</w:t>
      </w:r>
      <w:r w:rsidR="00A87B20" w:rsidRPr="53F3534C">
        <w:rPr>
          <w:rFonts w:cstheme="minorBidi"/>
        </w:rPr>
        <w:t>R’s Water Framework to secure contracts for water and wastewater services.</w:t>
      </w:r>
    </w:p>
    <w:p w14:paraId="5E70C011" w14:textId="69881975" w:rsidR="001E5A08" w:rsidRPr="001E5A08" w:rsidRDefault="00635790" w:rsidP="53F3534C">
      <w:pPr>
        <w:pStyle w:val="bParagraphtext"/>
        <w:rPr>
          <w:rFonts w:cstheme="minorBidi"/>
        </w:rPr>
      </w:pPr>
      <w:r w:rsidRPr="53F3534C">
        <w:rPr>
          <w:rFonts w:cstheme="minorBidi"/>
        </w:rPr>
        <w:t xml:space="preserve">The </w:t>
      </w:r>
      <w:r w:rsidR="75FC5F25" w:rsidRPr="53F3534C">
        <w:rPr>
          <w:rFonts w:cstheme="minorBidi"/>
        </w:rPr>
        <w:t>C</w:t>
      </w:r>
      <w:r w:rsidRPr="53F3534C">
        <w:rPr>
          <w:rFonts w:cstheme="minorBidi"/>
        </w:rPr>
        <w:t xml:space="preserve">ouncil </w:t>
      </w:r>
      <w:r w:rsidR="00EA06EA" w:rsidRPr="53F3534C">
        <w:rPr>
          <w:rFonts w:cstheme="minorBidi"/>
        </w:rPr>
        <w:t>utilises</w:t>
      </w:r>
      <w:r w:rsidRPr="53F3534C">
        <w:rPr>
          <w:rFonts w:cstheme="minorBidi"/>
        </w:rPr>
        <w:t xml:space="preserve"> LASER’s services through </w:t>
      </w:r>
      <w:r w:rsidR="004375D1" w:rsidRPr="53F3534C">
        <w:rPr>
          <w:rFonts w:cstheme="minorBidi"/>
        </w:rPr>
        <w:t xml:space="preserve">a </w:t>
      </w:r>
      <w:r w:rsidRPr="53F3534C">
        <w:rPr>
          <w:rFonts w:cstheme="minorBidi"/>
        </w:rPr>
        <w:t xml:space="preserve">compliant framework via an access agreement. </w:t>
      </w:r>
      <w:r w:rsidR="0012264F" w:rsidRPr="53F3534C">
        <w:rPr>
          <w:rFonts w:cstheme="minorBidi"/>
        </w:rPr>
        <w:t xml:space="preserve">In the last financial year (22 – 23) the Council spent £2.8m on electricity, gas and water. Taking into account increases to unit rates in October 2022, it is estimated that this will increase to £3.7m in this financial year (2023 – 2024).  </w:t>
      </w:r>
      <w:r w:rsidR="001E5A08" w:rsidRPr="53F3534C">
        <w:rPr>
          <w:rFonts w:cstheme="minorBidi"/>
        </w:rPr>
        <w:t>Expenditure (for 23-24) is split approximately as follows:</w:t>
      </w:r>
    </w:p>
    <w:p w14:paraId="268539CC" w14:textId="77777777" w:rsidR="001E5A08" w:rsidRPr="004A1B1B" w:rsidRDefault="001E5A08" w:rsidP="001E5A08">
      <w:pPr>
        <w:pStyle w:val="ListParagraph"/>
        <w:numPr>
          <w:ilvl w:val="0"/>
          <w:numId w:val="6"/>
        </w:numPr>
        <w:tabs>
          <w:tab w:val="clear" w:pos="426"/>
        </w:tabs>
        <w:spacing w:after="160" w:line="259" w:lineRule="auto"/>
        <w:contextualSpacing/>
        <w:rPr>
          <w:rFonts w:cstheme="minorHAnsi"/>
        </w:rPr>
      </w:pPr>
      <w:r w:rsidRPr="004A1B1B">
        <w:rPr>
          <w:rFonts w:cstheme="minorHAnsi"/>
        </w:rPr>
        <w:t>Gas: £</w:t>
      </w:r>
      <w:r>
        <w:rPr>
          <w:rFonts w:cstheme="minorHAnsi"/>
        </w:rPr>
        <w:t>1.1m</w:t>
      </w:r>
    </w:p>
    <w:p w14:paraId="600716FB" w14:textId="77777777" w:rsidR="001E5A08" w:rsidRDefault="001E5A08" w:rsidP="001E5A08">
      <w:pPr>
        <w:pStyle w:val="ListParagraph"/>
        <w:numPr>
          <w:ilvl w:val="0"/>
          <w:numId w:val="6"/>
        </w:numPr>
        <w:tabs>
          <w:tab w:val="clear" w:pos="426"/>
        </w:tabs>
        <w:spacing w:after="160" w:line="259" w:lineRule="auto"/>
        <w:contextualSpacing/>
        <w:rPr>
          <w:rFonts w:cstheme="minorHAnsi"/>
        </w:rPr>
      </w:pPr>
      <w:r w:rsidRPr="004A1B1B">
        <w:rPr>
          <w:rFonts w:cstheme="minorHAnsi"/>
        </w:rPr>
        <w:t>Elec</w:t>
      </w:r>
      <w:r>
        <w:rPr>
          <w:rFonts w:cstheme="minorHAnsi"/>
        </w:rPr>
        <w:t>tricity</w:t>
      </w:r>
      <w:r w:rsidRPr="004A1B1B">
        <w:rPr>
          <w:rFonts w:cstheme="minorHAnsi"/>
        </w:rPr>
        <w:t>: £</w:t>
      </w:r>
      <w:r>
        <w:rPr>
          <w:rFonts w:cstheme="minorHAnsi"/>
        </w:rPr>
        <w:t>2.4m</w:t>
      </w:r>
    </w:p>
    <w:p w14:paraId="1F7173B6" w14:textId="55534E91" w:rsidR="001E5A08" w:rsidRPr="001E5A08" w:rsidRDefault="001E5A08" w:rsidP="001E5A08">
      <w:pPr>
        <w:pStyle w:val="ListParagraph"/>
        <w:numPr>
          <w:ilvl w:val="0"/>
          <w:numId w:val="6"/>
        </w:numPr>
        <w:tabs>
          <w:tab w:val="clear" w:pos="426"/>
        </w:tabs>
        <w:spacing w:after="160" w:line="259" w:lineRule="auto"/>
        <w:contextualSpacing/>
        <w:rPr>
          <w:rFonts w:cstheme="minorHAnsi"/>
        </w:rPr>
      </w:pPr>
      <w:r w:rsidRPr="00FD6507">
        <w:rPr>
          <w:rFonts w:cstheme="minorHAnsi"/>
        </w:rPr>
        <w:t>Water: £0.2m</w:t>
      </w:r>
    </w:p>
    <w:p w14:paraId="38964F58" w14:textId="73D5D27F" w:rsidR="00635790" w:rsidRPr="006F6F17" w:rsidRDefault="00635790" w:rsidP="006F6F17">
      <w:pPr>
        <w:pStyle w:val="bParagraphtext"/>
        <w:rPr>
          <w:rFonts w:cstheme="minorHAnsi"/>
        </w:rPr>
      </w:pPr>
      <w:r w:rsidRPr="53F3534C">
        <w:rPr>
          <w:rFonts w:cstheme="minorBidi"/>
        </w:rPr>
        <w:t xml:space="preserve">The current </w:t>
      </w:r>
      <w:r w:rsidR="00EA06EA" w:rsidRPr="53F3534C">
        <w:rPr>
          <w:rFonts w:cstheme="minorBidi"/>
        </w:rPr>
        <w:t xml:space="preserve">energy </w:t>
      </w:r>
      <w:r w:rsidRPr="53F3534C">
        <w:rPr>
          <w:rFonts w:cstheme="minorBidi"/>
        </w:rPr>
        <w:t xml:space="preserve">framework agreement </w:t>
      </w:r>
      <w:r w:rsidR="00EA06EA" w:rsidRPr="53F3534C">
        <w:rPr>
          <w:rFonts w:cstheme="minorBidi"/>
        </w:rPr>
        <w:t>with LASER</w:t>
      </w:r>
      <w:r w:rsidRPr="53F3534C">
        <w:rPr>
          <w:rFonts w:cstheme="minorBidi"/>
        </w:rPr>
        <w:t xml:space="preserve"> runs from 1 October 2020 until 30 September 2024.</w:t>
      </w:r>
      <w:r w:rsidR="006F6F17" w:rsidRPr="53F3534C">
        <w:rPr>
          <w:rFonts w:cstheme="minorBidi"/>
        </w:rPr>
        <w:t xml:space="preserve"> The Council’s water contract runs from 15 September 2021 until 14 September 2024, with the option </w:t>
      </w:r>
      <w:r w:rsidR="005A6162" w:rsidRPr="53F3534C">
        <w:rPr>
          <w:rFonts w:cstheme="minorBidi"/>
        </w:rPr>
        <w:t>of</w:t>
      </w:r>
      <w:r w:rsidR="006F6F17" w:rsidRPr="53F3534C">
        <w:rPr>
          <w:rFonts w:cstheme="minorBidi"/>
        </w:rPr>
        <w:t xml:space="preserve"> a 2-year extension. </w:t>
      </w:r>
      <w:r w:rsidR="0065103F" w:rsidRPr="53F3534C">
        <w:rPr>
          <w:rFonts w:cstheme="minorBidi"/>
        </w:rPr>
        <w:t xml:space="preserve"> </w:t>
      </w:r>
    </w:p>
    <w:p w14:paraId="751153F0" w14:textId="25459C82" w:rsidR="00635790" w:rsidRPr="000A05A8" w:rsidRDefault="373FE7A7" w:rsidP="53F3534C">
      <w:pPr>
        <w:pStyle w:val="bParagraphtext"/>
        <w:rPr>
          <w:rFonts w:cstheme="minorBidi"/>
        </w:rPr>
      </w:pPr>
      <w:r w:rsidRPr="53F3534C">
        <w:rPr>
          <w:rFonts w:cstheme="minorBidi"/>
        </w:rPr>
        <w:t xml:space="preserve">In order to benefit from a hedged approach </w:t>
      </w:r>
      <w:r w:rsidR="15A8B8A7" w:rsidRPr="53F3534C">
        <w:rPr>
          <w:rFonts w:cstheme="minorBidi"/>
        </w:rPr>
        <w:t>involving forward purchasing to</w:t>
      </w:r>
      <w:r w:rsidRPr="53F3534C">
        <w:rPr>
          <w:rFonts w:cstheme="minorBidi"/>
        </w:rPr>
        <w:t xml:space="preserve"> mitigate against high energy prices and volatile markets, the Council is </w:t>
      </w:r>
      <w:r w:rsidR="00ED6D47" w:rsidRPr="53F3534C">
        <w:rPr>
          <w:rFonts w:cstheme="minorBidi"/>
        </w:rPr>
        <w:t xml:space="preserve">considering using a new </w:t>
      </w:r>
      <w:r w:rsidRPr="53F3534C">
        <w:rPr>
          <w:rFonts w:cstheme="minorBidi"/>
        </w:rPr>
        <w:t xml:space="preserve">framework agreement with </w:t>
      </w:r>
      <w:r w:rsidR="006F29F1" w:rsidRPr="53F3534C">
        <w:rPr>
          <w:rFonts w:cstheme="minorBidi"/>
        </w:rPr>
        <w:t>a Public Buying Organisation</w:t>
      </w:r>
      <w:r w:rsidR="009868C7" w:rsidRPr="53F3534C">
        <w:rPr>
          <w:rFonts w:cstheme="minorBidi"/>
        </w:rPr>
        <w:t xml:space="preserve">, </w:t>
      </w:r>
      <w:r w:rsidRPr="53F3534C">
        <w:rPr>
          <w:rFonts w:cstheme="minorBidi"/>
        </w:rPr>
        <w:t xml:space="preserve">to provide as long as possible a window for energy procurement prior to the contract delivery date (1 October 2024). </w:t>
      </w:r>
    </w:p>
    <w:p w14:paraId="38F4C321" w14:textId="1C32FE7B" w:rsidR="0065103F" w:rsidRPr="001356F1" w:rsidRDefault="0065103F" w:rsidP="0065103F">
      <w:pPr>
        <w:pStyle w:val="Heading1"/>
      </w:pPr>
      <w:r>
        <w:t xml:space="preserve">Energy procurement options </w:t>
      </w:r>
    </w:p>
    <w:p w14:paraId="47FB0EDC" w14:textId="669B7618" w:rsidR="0065103F" w:rsidRDefault="00827711" w:rsidP="00287D5A">
      <w:pPr>
        <w:pStyle w:val="bParagraphtext"/>
      </w:pPr>
      <w:r>
        <w:t xml:space="preserve">The energy market is a highly specialised field of procurement. The complexity of the procurement options can create a risk if not appropriately managed. </w:t>
      </w:r>
      <w:r w:rsidR="0090496B" w:rsidRPr="004A1B1B">
        <w:t>The Pan Government Energy Project recommends that all public sector organisations adopt aggregated, flexible and risk-managed energy procurement.</w:t>
      </w:r>
      <w:r w:rsidR="000A05A8">
        <w:rPr>
          <w:rStyle w:val="FootnoteReference"/>
        </w:rPr>
        <w:footnoteReference w:id="1"/>
      </w:r>
    </w:p>
    <w:p w14:paraId="137A0355" w14:textId="128B313E" w:rsidR="0065103F" w:rsidRDefault="0065103F" w:rsidP="00287D5A">
      <w:pPr>
        <w:pStyle w:val="bParagraphtext"/>
      </w:pPr>
      <w:r>
        <w:t>In seeking to review and renew the Council’s energy contracts the following options</w:t>
      </w:r>
      <w:r w:rsidR="009F5D9B">
        <w:t xml:space="preserve"> </w:t>
      </w:r>
      <w:r>
        <w:t>are presented:</w:t>
      </w:r>
    </w:p>
    <w:p w14:paraId="4ADE894D" w14:textId="27B67A61" w:rsidR="0065103F" w:rsidRDefault="0065103F" w:rsidP="00287D5A">
      <w:pPr>
        <w:pStyle w:val="ListParagraph"/>
        <w:numPr>
          <w:ilvl w:val="1"/>
          <w:numId w:val="2"/>
        </w:numPr>
      </w:pPr>
      <w:r>
        <w:t>Do</w:t>
      </w:r>
      <w:r w:rsidR="00E611EA">
        <w:t xml:space="preserve"> nothing (which means do</w:t>
      </w:r>
      <w:r>
        <w:t xml:space="preserve"> no</w:t>
      </w:r>
      <w:r w:rsidR="006F29F1">
        <w:t>t re-procure and allow the current utilities contracts to run over at higher rates</w:t>
      </w:r>
      <w:r w:rsidR="00E611EA">
        <w:t>)</w:t>
      </w:r>
    </w:p>
    <w:p w14:paraId="56463C5E" w14:textId="1F14A504" w:rsidR="0065103F" w:rsidRDefault="0065103F" w:rsidP="00287D5A">
      <w:pPr>
        <w:pStyle w:val="ListParagraph"/>
        <w:numPr>
          <w:ilvl w:val="1"/>
          <w:numId w:val="2"/>
        </w:numPr>
      </w:pPr>
      <w:r>
        <w:t>Run a procurement process in-house</w:t>
      </w:r>
    </w:p>
    <w:p w14:paraId="50061DA6" w14:textId="06EED370" w:rsidR="0065103F" w:rsidRDefault="009F5D9B" w:rsidP="00287D5A">
      <w:pPr>
        <w:pStyle w:val="ListParagraph"/>
        <w:numPr>
          <w:ilvl w:val="1"/>
          <w:numId w:val="2"/>
        </w:numPr>
      </w:pPr>
      <w:r>
        <w:t>U</w:t>
      </w:r>
      <w:r w:rsidR="0065103F">
        <w:t xml:space="preserve">se a </w:t>
      </w:r>
      <w:r w:rsidR="00C75C07">
        <w:t>Public</w:t>
      </w:r>
      <w:r w:rsidR="0065103F">
        <w:t xml:space="preserve"> </w:t>
      </w:r>
      <w:r w:rsidR="00C75C07">
        <w:t>B</w:t>
      </w:r>
      <w:r w:rsidR="0065103F">
        <w:t xml:space="preserve">uying </w:t>
      </w:r>
      <w:r w:rsidR="00C75C07">
        <w:t>O</w:t>
      </w:r>
      <w:r w:rsidR="0065103F">
        <w:t xml:space="preserve">rganisation (PBO) or </w:t>
      </w:r>
      <w:r w:rsidR="00F23C8F">
        <w:t>T</w:t>
      </w:r>
      <w:r w:rsidR="0065103F">
        <w:t xml:space="preserve">hird </w:t>
      </w:r>
      <w:r w:rsidR="00F23C8F">
        <w:t>P</w:t>
      </w:r>
      <w:r w:rsidR="0065103F">
        <w:t>arty</w:t>
      </w:r>
      <w:r>
        <w:t xml:space="preserve"> </w:t>
      </w:r>
      <w:r w:rsidR="00F23C8F">
        <w:t>I</w:t>
      </w:r>
      <w:r w:rsidR="0065103F">
        <w:t>ntermediary (TPI).</w:t>
      </w:r>
    </w:p>
    <w:p w14:paraId="0A0DECE0" w14:textId="5508A728" w:rsidR="0065103F" w:rsidRDefault="009F5D9B" w:rsidP="00287D5A">
      <w:pPr>
        <w:pStyle w:val="bParagraphtext"/>
      </w:pPr>
      <w:r>
        <w:lastRenderedPageBreak/>
        <w:t>Doing</w:t>
      </w:r>
      <w:r w:rsidR="0065103F">
        <w:t xml:space="preserve"> nothing </w:t>
      </w:r>
      <w:r w:rsidR="006D2F98">
        <w:t xml:space="preserve">is problematic </w:t>
      </w:r>
      <w:r w:rsidR="00664CC7">
        <w:t>in terms of</w:t>
      </w:r>
      <w:r w:rsidR="006D2F98">
        <w:t xml:space="preserve"> </w:t>
      </w:r>
      <w:r w:rsidR="0065103F">
        <w:t>cost as this would mean</w:t>
      </w:r>
      <w:r w:rsidR="00664CC7">
        <w:t xml:space="preserve"> that</w:t>
      </w:r>
      <w:r w:rsidR="0065103F">
        <w:t xml:space="preserve"> </w:t>
      </w:r>
      <w:r w:rsidR="006F29F1">
        <w:t>once the current contracts expire</w:t>
      </w:r>
      <w:r w:rsidR="00664CC7">
        <w:t xml:space="preserve">, </w:t>
      </w:r>
      <w:r w:rsidR="0065103F">
        <w:t xml:space="preserve">the council would </w:t>
      </w:r>
      <w:r w:rsidR="006F29F1">
        <w:t>pay</w:t>
      </w:r>
      <w:r w:rsidR="0065103F">
        <w:t xml:space="preserve"> expensive </w:t>
      </w:r>
      <w:r w:rsidR="09E3F023">
        <w:t xml:space="preserve">and volatile </w:t>
      </w:r>
      <w:r w:rsidR="0065103F">
        <w:t>deemed rates with its energy suppliers without an energy contract in place.</w:t>
      </w:r>
    </w:p>
    <w:p w14:paraId="49605749" w14:textId="7A91FC7E" w:rsidR="0065103F" w:rsidRDefault="00EA06EA" w:rsidP="00287D5A">
      <w:pPr>
        <w:pStyle w:val="bParagraphtext"/>
      </w:pPr>
      <w:r>
        <w:t>Running a procurement process in</w:t>
      </w:r>
      <w:r w:rsidR="1C93812D">
        <w:t>-</w:t>
      </w:r>
      <w:r>
        <w:t>house</w:t>
      </w:r>
      <w:r w:rsidR="006D2F98">
        <w:t>, w</w:t>
      </w:r>
      <w:r w:rsidR="009F5D9B">
        <w:t xml:space="preserve">ith </w:t>
      </w:r>
      <w:r w:rsidR="0065103F">
        <w:t xml:space="preserve">a </w:t>
      </w:r>
      <w:r w:rsidR="00E611EA">
        <w:t xml:space="preserve">collective </w:t>
      </w:r>
      <w:r w:rsidR="0065103F">
        <w:t>procurement value of c</w:t>
      </w:r>
      <w:r w:rsidR="00FD6507">
        <w:t>a</w:t>
      </w:r>
      <w:r>
        <w:t>.</w:t>
      </w:r>
      <w:r w:rsidR="009F5D9B">
        <w:t>£</w:t>
      </w:r>
      <w:r w:rsidR="0012264F">
        <w:t>3.7</w:t>
      </w:r>
      <w:r w:rsidR="009F5D9B">
        <w:t>m</w:t>
      </w:r>
      <w:r w:rsidR="0065103F">
        <w:t xml:space="preserve"> per annum, </w:t>
      </w:r>
      <w:r>
        <w:t xml:space="preserve">would be </w:t>
      </w:r>
      <w:r w:rsidR="0065103F">
        <w:t>time-consuming and expensive</w:t>
      </w:r>
      <w:r>
        <w:t>,</w:t>
      </w:r>
      <w:r w:rsidR="009F5D9B">
        <w:t xml:space="preserve"> </w:t>
      </w:r>
      <w:r w:rsidR="0065103F">
        <w:t xml:space="preserve">requiring specialist energy purchasing </w:t>
      </w:r>
      <w:r w:rsidR="00F23C8F">
        <w:t>expertise</w:t>
      </w:r>
      <w:r>
        <w:t xml:space="preserve"> to run </w:t>
      </w:r>
      <w:r w:rsidRPr="53F3534C">
        <w:rPr>
          <w:color w:val="auto"/>
        </w:rPr>
        <w:t>a</w:t>
      </w:r>
      <w:r w:rsidR="004375D1" w:rsidRPr="53F3534C">
        <w:rPr>
          <w:color w:val="auto"/>
        </w:rPr>
        <w:t xml:space="preserve"> compliant </w:t>
      </w:r>
      <w:r w:rsidR="0065103F" w:rsidRPr="53F3534C">
        <w:rPr>
          <w:color w:val="auto"/>
        </w:rPr>
        <w:t xml:space="preserve">tendered </w:t>
      </w:r>
      <w:r w:rsidR="0065103F">
        <w:t xml:space="preserve">process. </w:t>
      </w:r>
      <w:r w:rsidR="00E611EA">
        <w:t>Further, t</w:t>
      </w:r>
      <w:r w:rsidR="0065103F">
        <w:t>he Council does</w:t>
      </w:r>
      <w:r w:rsidR="009F5D9B">
        <w:t xml:space="preserve"> </w:t>
      </w:r>
      <w:r w:rsidR="0065103F">
        <w:t xml:space="preserve">not have </w:t>
      </w:r>
      <w:r w:rsidR="00C75C07">
        <w:t>sufficient v</w:t>
      </w:r>
      <w:r w:rsidR="0065103F">
        <w:t xml:space="preserve">olume </w:t>
      </w:r>
      <w:r>
        <w:t xml:space="preserve">or buying power </w:t>
      </w:r>
      <w:r w:rsidR="5E746C86">
        <w:t xml:space="preserve">itself </w:t>
      </w:r>
      <w:r w:rsidR="00C75C07">
        <w:t>to</w:t>
      </w:r>
      <w:r w:rsidR="00F23C8F">
        <w:t xml:space="preserve"> </w:t>
      </w:r>
      <w:r>
        <w:t>purchase</w:t>
      </w:r>
      <w:r w:rsidR="00F23C8F">
        <w:t xml:space="preserve"> in advance on the wholesale energy market</w:t>
      </w:r>
      <w:r>
        <w:t xml:space="preserve"> and </w:t>
      </w:r>
      <w:r w:rsidR="00C75C07">
        <w:t xml:space="preserve">effectively negotiate supplier management fees. </w:t>
      </w:r>
    </w:p>
    <w:p w14:paraId="3643882A" w14:textId="4D9062BC" w:rsidR="00341DA5" w:rsidRDefault="00C75C07" w:rsidP="00287D5A">
      <w:pPr>
        <w:pStyle w:val="bParagraphtext"/>
      </w:pPr>
      <w:r>
        <w:t xml:space="preserve">Entering into contract with a </w:t>
      </w:r>
      <w:r w:rsidR="009F5D9B">
        <w:t>TPI</w:t>
      </w:r>
      <w:r>
        <w:t xml:space="preserve"> (</w:t>
      </w:r>
      <w:r w:rsidR="00A87D09">
        <w:t xml:space="preserve">i.e., </w:t>
      </w:r>
      <w:r w:rsidR="00EA06EA">
        <w:t xml:space="preserve">an </w:t>
      </w:r>
      <w:r>
        <w:t xml:space="preserve">energy broker) </w:t>
      </w:r>
      <w:r w:rsidR="006D2F98">
        <w:t xml:space="preserve">would be time consuming and resource intensive. </w:t>
      </w:r>
      <w:r w:rsidR="00341DA5">
        <w:t>There are c.2000 brokers operating in the UK market primarily serving small- and medium-sized organisations and some councils.</w:t>
      </w:r>
      <w:r w:rsidR="00F23C8F">
        <w:t xml:space="preserve"> </w:t>
      </w:r>
      <w:r w:rsidR="00A679A5" w:rsidRPr="53F3534C">
        <w:rPr>
          <w:color w:val="auto"/>
        </w:rPr>
        <w:t xml:space="preserve">A procurement process would need to be run by the Council to select the broker, requiring significant resource and expertise. </w:t>
      </w:r>
    </w:p>
    <w:p w14:paraId="3B5C3637" w14:textId="503D120F" w:rsidR="00F23C8F" w:rsidRDefault="00F23C8F" w:rsidP="00A679A5">
      <w:pPr>
        <w:pStyle w:val="bParagraphtext"/>
      </w:pPr>
      <w:r>
        <w:t>Procuring energy through a PBO is</w:t>
      </w:r>
      <w:r w:rsidR="00C75C07">
        <w:t xml:space="preserve"> </w:t>
      </w:r>
      <w:r w:rsidR="006D2F98">
        <w:t>currently considered best practice</w:t>
      </w:r>
      <w:r w:rsidR="00C75C07">
        <w:t xml:space="preserve">. </w:t>
      </w:r>
      <w:r w:rsidR="00A679A5">
        <w:t xml:space="preserve">A PBO is a distinct organisation or part of an existing public body set up to facilitate the procurement of items, goods or services commonly purchased by local authorities. Due to the potential aggregated volume of their users, PBOs are normally able to secure preferential rates. </w:t>
      </w:r>
      <w:r w:rsidR="00F421BA">
        <w:t xml:space="preserve">Use of a PBO for utilities procurement </w:t>
      </w:r>
      <w:r w:rsidR="00C75C07">
        <w:t>is</w:t>
      </w:r>
      <w:r>
        <w:t xml:space="preserve"> regarded as a best practice approach to mitigate energy price risk in a volatile and complex energy market. </w:t>
      </w:r>
      <w:r w:rsidR="00EA06EA">
        <w:t>PBOs</w:t>
      </w:r>
      <w:r w:rsidR="00F421BA">
        <w:t xml:space="preserve"> often</w:t>
      </w:r>
      <w:r w:rsidR="00EA06EA">
        <w:t xml:space="preserve"> take delegated authority to purchase gas and electricity on behalf of public sector organisations, creating an aggregated committed volume to take to the wholesale market. By aggregating customers’ energy volumes into procurement rounds, PBOs are able to purchase energy on the wholesale market. </w:t>
      </w:r>
      <w:r w:rsidR="00AE5930">
        <w:t>PBOs offer a lo</w:t>
      </w:r>
      <w:r w:rsidR="00AE5930" w:rsidRPr="53F3534C">
        <w:rPr>
          <w:color w:val="auto"/>
        </w:rPr>
        <w:t>w-risk procurement compliant route to market.</w:t>
      </w:r>
      <w:r w:rsidR="006D2F98" w:rsidRPr="53F3534C">
        <w:rPr>
          <w:color w:val="auto"/>
        </w:rPr>
        <w:t xml:space="preserve"> For information,</w:t>
      </w:r>
      <w:r w:rsidR="00783DD8" w:rsidRPr="53F3534C">
        <w:rPr>
          <w:color w:val="auto"/>
        </w:rPr>
        <w:t xml:space="preserve"> the LGA’s </w:t>
      </w:r>
      <w:r w:rsidR="006D2F98" w:rsidRPr="53F3534C">
        <w:rPr>
          <w:color w:val="auto"/>
        </w:rPr>
        <w:t xml:space="preserve">list of </w:t>
      </w:r>
      <w:r w:rsidR="00372357">
        <w:t>PBOs</w:t>
      </w:r>
      <w:r w:rsidR="00783DD8">
        <w:t xml:space="preserve"> offering energy service frameworks</w:t>
      </w:r>
      <w:r w:rsidR="00372357">
        <w:t xml:space="preserve"> i</w:t>
      </w:r>
      <w:r w:rsidR="006D2F98">
        <w:t>s provided in</w:t>
      </w:r>
      <w:r w:rsidR="00372357">
        <w:t xml:space="preserve"> </w:t>
      </w:r>
      <w:r w:rsidR="00783DD8">
        <w:t>A</w:t>
      </w:r>
      <w:r w:rsidR="00EA06EA">
        <w:t xml:space="preserve">ppendix </w:t>
      </w:r>
      <w:r w:rsidR="6BA9766E">
        <w:t>1</w:t>
      </w:r>
      <w:r w:rsidR="00EA06EA">
        <w:t xml:space="preserve">. </w:t>
      </w:r>
    </w:p>
    <w:p w14:paraId="679CD30E" w14:textId="77777777" w:rsidR="006D2F98" w:rsidRPr="00B55827" w:rsidRDefault="006D2F98" w:rsidP="006D2F98">
      <w:pPr>
        <w:pStyle w:val="Heading1"/>
        <w:rPr>
          <w:rFonts w:cs="Arial"/>
          <w:b w:val="0"/>
          <w:bCs/>
        </w:rPr>
      </w:pPr>
      <w:r>
        <w:t xml:space="preserve">Statutory consultation with leaseholders and shared owners  </w:t>
      </w:r>
    </w:p>
    <w:p w14:paraId="5C385BDB" w14:textId="515A5FBF" w:rsidR="00BC48A2" w:rsidRDefault="00BC48A2" w:rsidP="00BC48A2">
      <w:pPr>
        <w:pStyle w:val="bParagraphtext"/>
      </w:pPr>
      <w:r>
        <w:t>Under Section 20 of the Landlord and Tenant Act 1985 (amended by section 151 of the Commonhold and Leasehold Reform Act 2002) the Council has an obligation to consult with leaseholder</w:t>
      </w:r>
      <w:r w:rsidR="005823F6">
        <w:t>s</w:t>
      </w:r>
      <w:r>
        <w:t xml:space="preserve"> who pay a service charge</w:t>
      </w:r>
      <w:r w:rsidR="00783DD8">
        <w:t xml:space="preserve"> where</w:t>
      </w:r>
      <w:r w:rsidR="005823F6">
        <w:t>:</w:t>
      </w:r>
    </w:p>
    <w:p w14:paraId="2EC7FB96" w14:textId="56573A33" w:rsidR="00BC48A2" w:rsidRDefault="00783DD8" w:rsidP="00783DD8">
      <w:pPr>
        <w:pStyle w:val="bParagraphtext"/>
        <w:numPr>
          <w:ilvl w:val="1"/>
          <w:numId w:val="2"/>
        </w:numPr>
      </w:pPr>
      <w:r>
        <w:t>The</w:t>
      </w:r>
      <w:r w:rsidR="00BC48A2">
        <w:t xml:space="preserve"> Council is looking to contract for the supply of services included in the service charge</w:t>
      </w:r>
      <w:r w:rsidR="005823F6">
        <w:t>;</w:t>
      </w:r>
      <w:r w:rsidR="00BC48A2">
        <w:t xml:space="preserve"> and</w:t>
      </w:r>
    </w:p>
    <w:p w14:paraId="54F75C62" w14:textId="6030BBE7" w:rsidR="00BC48A2" w:rsidRDefault="005823F6" w:rsidP="00783DD8">
      <w:pPr>
        <w:pStyle w:val="bParagraphtext"/>
        <w:numPr>
          <w:ilvl w:val="1"/>
          <w:numId w:val="2"/>
        </w:numPr>
      </w:pPr>
      <w:r>
        <w:t>T</w:t>
      </w:r>
      <w:r w:rsidR="00BC48A2">
        <w:t>he contract will be for more than 12 years</w:t>
      </w:r>
      <w:r>
        <w:t>;</w:t>
      </w:r>
      <w:r w:rsidR="00BC48A2">
        <w:t xml:space="preserve"> and</w:t>
      </w:r>
    </w:p>
    <w:p w14:paraId="020687A3" w14:textId="46335E8E" w:rsidR="00783DD8" w:rsidRDefault="005823F6" w:rsidP="00783DD8">
      <w:pPr>
        <w:pStyle w:val="bParagraphtext"/>
        <w:numPr>
          <w:ilvl w:val="1"/>
          <w:numId w:val="2"/>
        </w:numPr>
      </w:pPr>
      <w:r>
        <w:t>T</w:t>
      </w:r>
      <w:r w:rsidR="00BC48A2">
        <w:t>he cost to any one leaseholder is greater than £100 a year</w:t>
      </w:r>
      <w:r w:rsidR="006D2F98">
        <w:t xml:space="preserve"> </w:t>
      </w:r>
    </w:p>
    <w:p w14:paraId="3073B4B6" w14:textId="5CCBCCA7" w:rsidR="006D2F98" w:rsidRPr="00783DD8" w:rsidRDefault="005823F6" w:rsidP="0049476C">
      <w:pPr>
        <w:pStyle w:val="bParagraphtext"/>
      </w:pPr>
      <w:r>
        <w:t>The Council is currently in the consultation period and letters have been sent to the relevant leaseholders setting out the preferred option</w:t>
      </w:r>
      <w:r w:rsidR="00084323">
        <w:t xml:space="preserve"> (see below) </w:t>
      </w:r>
      <w:r>
        <w:t xml:space="preserve">of using a </w:t>
      </w:r>
      <w:r w:rsidR="00084323">
        <w:t>PBO</w:t>
      </w:r>
      <w:r>
        <w:t xml:space="preserve">. The final decision taken on the procurement </w:t>
      </w:r>
      <w:r w:rsidR="0049476C">
        <w:t>route</w:t>
      </w:r>
      <w:r>
        <w:t xml:space="preserve"> will need to take account of any responses received from the consultation</w:t>
      </w:r>
      <w:r w:rsidR="004142C7">
        <w:t xml:space="preserve"> (the first phase </w:t>
      </w:r>
      <w:r w:rsidR="132A440A">
        <w:t xml:space="preserve">closes on </w:t>
      </w:r>
      <w:r w:rsidR="00F33318">
        <w:t>21</w:t>
      </w:r>
      <w:r w:rsidR="004142C7">
        <w:t xml:space="preserve"> October 2023)</w:t>
      </w:r>
      <w:r>
        <w:t xml:space="preserve">. </w:t>
      </w:r>
    </w:p>
    <w:p w14:paraId="2C2C682E" w14:textId="148A71D2" w:rsidR="0090048A" w:rsidRPr="001356F1" w:rsidRDefault="0090048A" w:rsidP="0090048A">
      <w:pPr>
        <w:pStyle w:val="Heading1"/>
      </w:pPr>
      <w:r>
        <w:t xml:space="preserve">Preferred option </w:t>
      </w:r>
      <w:r w:rsidR="005A6162">
        <w:t xml:space="preserve">and procurement review </w:t>
      </w:r>
    </w:p>
    <w:p w14:paraId="0E5B7591" w14:textId="3ED93C08" w:rsidR="006D702A" w:rsidRPr="0049476C" w:rsidRDefault="006D2F98" w:rsidP="00287D5A">
      <w:pPr>
        <w:pStyle w:val="bParagraphtext"/>
        <w:rPr>
          <w:color w:val="auto"/>
        </w:rPr>
      </w:pPr>
      <w:r>
        <w:t xml:space="preserve">Currently the preferred option is to </w:t>
      </w:r>
      <w:r w:rsidR="006D702A">
        <w:t>use a PBO for the reasons set out in paragraph 10.</w:t>
      </w:r>
    </w:p>
    <w:p w14:paraId="1DD0A9EA" w14:textId="2FE0AB1F" w:rsidR="005823F6" w:rsidRPr="00B77E79" w:rsidRDefault="006D702A" w:rsidP="005823F6">
      <w:pPr>
        <w:pStyle w:val="bParagraphtext"/>
        <w:rPr>
          <w:color w:val="auto"/>
        </w:rPr>
      </w:pPr>
      <w:r>
        <w:t xml:space="preserve">Due to </w:t>
      </w:r>
      <w:r w:rsidR="1E252341">
        <w:t xml:space="preserve">the </w:t>
      </w:r>
      <w:r w:rsidR="006D2F98">
        <w:t>ongoing</w:t>
      </w:r>
      <w:r>
        <w:t xml:space="preserve"> S20 consultation</w:t>
      </w:r>
      <w:r w:rsidR="005823F6">
        <w:t xml:space="preserve"> and the need to </w:t>
      </w:r>
      <w:r>
        <w:t xml:space="preserve">review and prepare documentation for </w:t>
      </w:r>
      <w:r w:rsidR="005823F6">
        <w:t>the chosen procurement route</w:t>
      </w:r>
      <w:r>
        <w:t xml:space="preserve">, it is recommended the decision </w:t>
      </w:r>
      <w:r>
        <w:lastRenderedPageBreak/>
        <w:t>on</w:t>
      </w:r>
      <w:r w:rsidR="005823F6">
        <w:t xml:space="preserve"> how to procure and the subsequent contract award is delegated to the Head of Corporate Strategy</w:t>
      </w:r>
      <w:r w:rsidR="1E0560FA">
        <w:t xml:space="preserve"> in consultation with the Section 151 Officer</w:t>
      </w:r>
      <w:r w:rsidR="005823F6">
        <w:t xml:space="preserve">. </w:t>
      </w:r>
    </w:p>
    <w:p w14:paraId="791C7C7A" w14:textId="1B54EDAD" w:rsidR="00CD302E" w:rsidRPr="00372357" w:rsidRDefault="005823F6" w:rsidP="0049476C">
      <w:pPr>
        <w:pStyle w:val="bParagraphtext"/>
        <w:rPr>
          <w:color w:val="auto"/>
        </w:rPr>
      </w:pPr>
      <w:r w:rsidRPr="53F3534C">
        <w:rPr>
          <w:color w:val="auto"/>
        </w:rPr>
        <w:t>Due to the volatility of the energy market and the need to have as long as possible a purchasing window to secure lower rates, decisions will ne</w:t>
      </w:r>
      <w:r w:rsidR="00084323" w:rsidRPr="53F3534C">
        <w:rPr>
          <w:color w:val="auto"/>
        </w:rPr>
        <w:t>e</w:t>
      </w:r>
      <w:r w:rsidRPr="53F3534C">
        <w:rPr>
          <w:color w:val="auto"/>
        </w:rPr>
        <w:t>d to be taken quickly following the conclusion of the S20 consultation</w:t>
      </w:r>
      <w:r w:rsidR="00401C3E" w:rsidRPr="53F3534C">
        <w:rPr>
          <w:color w:val="auto"/>
        </w:rPr>
        <w:t>, requiring delegation a</w:t>
      </w:r>
      <w:r w:rsidR="67320991" w:rsidRPr="53F3534C">
        <w:rPr>
          <w:color w:val="auto"/>
        </w:rPr>
        <w:t>s</w:t>
      </w:r>
      <w:r w:rsidR="00401C3E" w:rsidRPr="53F3534C">
        <w:rPr>
          <w:color w:val="auto"/>
        </w:rPr>
        <w:t xml:space="preserve"> set out above. </w:t>
      </w:r>
    </w:p>
    <w:p w14:paraId="43CFF437" w14:textId="54E3B8A7" w:rsidR="0090025D" w:rsidRPr="001356F1" w:rsidRDefault="006F29F1" w:rsidP="0090025D">
      <w:pPr>
        <w:pStyle w:val="Heading1"/>
      </w:pPr>
      <w:r>
        <w:t xml:space="preserve">Renewable energy procurement </w:t>
      </w:r>
    </w:p>
    <w:p w14:paraId="10831800" w14:textId="51EAB5DF" w:rsidR="006F29F1" w:rsidRPr="0049476C" w:rsidRDefault="006F29F1" w:rsidP="003614F1">
      <w:pPr>
        <w:pStyle w:val="bParagraphtext"/>
      </w:pPr>
      <w:r>
        <w:t xml:space="preserve">Following Cabinet decision </w:t>
      </w:r>
      <w:r w:rsidR="0049476C">
        <w:t>in December 2021, the</w:t>
      </w:r>
      <w:r>
        <w:t xml:space="preserve"> Council does not purchase green gas</w:t>
      </w:r>
      <w:r w:rsidR="009B6143">
        <w:t xml:space="preserve"> and directs this funding to the Net Zero Transition Fund, which funds additional decarbonisation projects.</w:t>
      </w:r>
      <w:r w:rsidR="2713F3E1">
        <w:t xml:space="preserve"> This decision was in line with advice from the Council’s Scientific Advisor.</w:t>
      </w:r>
    </w:p>
    <w:p w14:paraId="31238551" w14:textId="383EBCB7" w:rsidR="006F29F1" w:rsidRPr="0049476C" w:rsidRDefault="006F29F1" w:rsidP="003614F1">
      <w:pPr>
        <w:pStyle w:val="bParagraphtext"/>
      </w:pPr>
      <w:r>
        <w:t xml:space="preserve">The Council is not currently purchasing green electricity due to high premiums and </w:t>
      </w:r>
      <w:r w:rsidR="3BFCB8C4">
        <w:t>similarly this</w:t>
      </w:r>
      <w:r w:rsidR="0049476C">
        <w:t xml:space="preserve"> funding is best used to deliver projects that decarbonise the Council’s operations. </w:t>
      </w:r>
    </w:p>
    <w:p w14:paraId="0981FCF3" w14:textId="27BCE6A2" w:rsidR="00584057" w:rsidRPr="0049476C" w:rsidRDefault="79EEA3F4" w:rsidP="00401333">
      <w:pPr>
        <w:pStyle w:val="bParagraphtext"/>
        <w:numPr>
          <w:ilvl w:val="0"/>
          <w:numId w:val="0"/>
        </w:numPr>
        <w:rPr>
          <w:color w:val="000000" w:themeColor="text1"/>
        </w:rPr>
      </w:pPr>
      <w:r w:rsidRPr="00401333">
        <w:rPr>
          <w:b/>
          <w:bCs/>
          <w:color w:val="000000" w:themeColor="text1"/>
        </w:rPr>
        <w:t>Longer term energy procurement</w:t>
      </w:r>
    </w:p>
    <w:p w14:paraId="556AC7D8" w14:textId="2FFA42BB" w:rsidR="00584057" w:rsidRPr="0049476C" w:rsidRDefault="79EEA3F4" w:rsidP="0049476C">
      <w:pPr>
        <w:pStyle w:val="bParagraphtext"/>
      </w:pPr>
      <w:r>
        <w:t xml:space="preserve">It is proposed that the Council undertake an Energy Procurement Review to conclude by June 2025 - to enable the development of a longer-term procurement strategy. </w:t>
      </w:r>
    </w:p>
    <w:p w14:paraId="26255EF5" w14:textId="59DA9BE9" w:rsidR="00584057" w:rsidRPr="0049476C" w:rsidRDefault="006F29F1" w:rsidP="0049476C">
      <w:pPr>
        <w:pStyle w:val="bParagraphtext"/>
      </w:pPr>
      <w:r w:rsidRPr="0049476C">
        <w:t xml:space="preserve">As set out in the Carbon Management Plan the Council is </w:t>
      </w:r>
      <w:r w:rsidR="538D7A2A" w:rsidRPr="0049476C">
        <w:t xml:space="preserve">currently </w:t>
      </w:r>
      <w:r w:rsidRPr="00957624">
        <w:t>exploring potential opportunities to secure</w:t>
      </w:r>
      <w:r w:rsidR="0049476C" w:rsidRPr="00957624">
        <w:t xml:space="preserve"> Power Purchase Agreements (</w:t>
      </w:r>
      <w:r w:rsidRPr="00957624">
        <w:t>PPAs</w:t>
      </w:r>
      <w:r w:rsidR="0049476C" w:rsidRPr="00957624">
        <w:t>)</w:t>
      </w:r>
      <w:r w:rsidRPr="00957624">
        <w:t xml:space="preserve">. </w:t>
      </w:r>
      <w:r w:rsidR="0049476C" w:rsidRPr="00957624">
        <w:t xml:space="preserve">PPAs are </w:t>
      </w:r>
      <w:r w:rsidR="00840238" w:rsidRPr="00957624">
        <w:t xml:space="preserve">long term </w:t>
      </w:r>
      <w:r w:rsidR="0049476C" w:rsidRPr="00957624">
        <w:t>contracts between a generator and a buyer of that electricity.</w:t>
      </w:r>
      <w:r w:rsidR="0049476C" w:rsidRPr="00957624">
        <w:rPr>
          <w:rStyle w:val="FootnoteReference"/>
        </w:rPr>
        <w:footnoteReference w:id="2"/>
      </w:r>
      <w:r w:rsidR="0049476C" w:rsidRPr="00957624">
        <w:t xml:space="preserve"> Many organisations sign PPAs to benefit from price certainty over the long term and to purchase energy from a specific renewable energy project, which is regarded as a good practice approach to green electricity procurement.</w:t>
      </w:r>
      <w:r w:rsidR="0049476C" w:rsidRPr="0049476C">
        <w:t xml:space="preserve"> </w:t>
      </w:r>
      <w:r w:rsidR="3D05F0D8" w:rsidRPr="0049476C">
        <w:t xml:space="preserve">If it proves possible to negotiate a PPA on attractive terms for the Council, then this may provide a </w:t>
      </w:r>
      <w:r w:rsidR="7BAAD609" w:rsidRPr="0049476C">
        <w:t xml:space="preserve">significant </w:t>
      </w:r>
      <w:r w:rsidR="3D05F0D8" w:rsidRPr="0049476C">
        <w:t>proportion of its energy needs</w:t>
      </w:r>
      <w:r w:rsidR="6A80AB07" w:rsidRPr="0049476C">
        <w:t xml:space="preserve">, requiring </w:t>
      </w:r>
      <w:r w:rsidR="3AC8AF34" w:rsidRPr="0049476C">
        <w:t xml:space="preserve">adjustments to the contracts placed through </w:t>
      </w:r>
      <w:r w:rsidR="0067058E">
        <w:t>a PBO</w:t>
      </w:r>
    </w:p>
    <w:p w14:paraId="7BCBEE85" w14:textId="329C14E9" w:rsidR="3AC8AF34" w:rsidRDefault="3AC8AF34" w:rsidP="53F3534C">
      <w:pPr>
        <w:pStyle w:val="bParagraphtext"/>
        <w:rPr>
          <w:color w:val="000000" w:themeColor="text1"/>
        </w:rPr>
      </w:pPr>
      <w:r w:rsidRPr="53F3534C">
        <w:rPr>
          <w:color w:val="000000" w:themeColor="text1"/>
        </w:rPr>
        <w:t>If the new provider of the Council’s Leisure Services can demonstrate it can access energy</w:t>
      </w:r>
      <w:r w:rsidR="52E1B087" w:rsidRPr="53F3534C">
        <w:rPr>
          <w:color w:val="000000" w:themeColor="text1"/>
        </w:rPr>
        <w:t xml:space="preserve"> at more competitive rates than the Council, then this may provide another procurement option for a significant proportion of the Council’s energy </w:t>
      </w:r>
      <w:r w:rsidR="594846EB" w:rsidRPr="53F3534C">
        <w:rPr>
          <w:color w:val="000000" w:themeColor="text1"/>
        </w:rPr>
        <w:t xml:space="preserve">needs and may also require adjustments to the contracts placed through </w:t>
      </w:r>
      <w:r w:rsidR="0067058E">
        <w:rPr>
          <w:color w:val="000000" w:themeColor="text1"/>
        </w:rPr>
        <w:t>a PBO</w:t>
      </w:r>
      <w:r w:rsidR="594846EB" w:rsidRPr="53F3534C">
        <w:rPr>
          <w:color w:val="000000" w:themeColor="text1"/>
        </w:rPr>
        <w:t xml:space="preserve">. </w:t>
      </w:r>
    </w:p>
    <w:p w14:paraId="0A331970" w14:textId="62D1A2A6" w:rsidR="594846EB" w:rsidRDefault="594846EB" w:rsidP="53F3534C">
      <w:pPr>
        <w:pStyle w:val="bParagraphtext"/>
        <w:rPr>
          <w:color w:val="000000" w:themeColor="text1"/>
        </w:rPr>
      </w:pPr>
      <w:r w:rsidRPr="53F3534C">
        <w:rPr>
          <w:color w:val="000000" w:themeColor="text1"/>
        </w:rPr>
        <w:t>Any such future decisions would look at overall value to the Council – including total cost and price certainty – and would be subject to fu</w:t>
      </w:r>
      <w:r w:rsidR="502B7AEA" w:rsidRPr="53F3534C">
        <w:rPr>
          <w:color w:val="000000" w:themeColor="text1"/>
        </w:rPr>
        <w:t>rther Cabinet approval.</w:t>
      </w:r>
      <w:r w:rsidRPr="53F3534C">
        <w:rPr>
          <w:color w:val="000000" w:themeColor="text1"/>
        </w:rPr>
        <w:t xml:space="preserve"> </w:t>
      </w:r>
    </w:p>
    <w:p w14:paraId="6F56C535" w14:textId="2066C050" w:rsidR="0090025D" w:rsidRPr="001356F1" w:rsidRDefault="0090025D" w:rsidP="0090025D">
      <w:pPr>
        <w:pStyle w:val="Heading1"/>
      </w:pPr>
      <w:r>
        <w:t xml:space="preserve">Water procurement </w:t>
      </w:r>
    </w:p>
    <w:p w14:paraId="5A826664" w14:textId="1B46BCFA" w:rsidR="0050524E" w:rsidRDefault="373FE7A7" w:rsidP="00DC727E">
      <w:pPr>
        <w:pStyle w:val="bParagraphtext"/>
      </w:pPr>
      <w:r>
        <w:t xml:space="preserve">Since April 2017, businesses, charities and public sector organisations in England have been able to switch suppliers for water services. Since 2017, the Council has </w:t>
      </w:r>
      <w:r w:rsidRPr="53F3534C">
        <w:rPr>
          <w:rFonts w:cstheme="minorBidi"/>
        </w:rPr>
        <w:t>accessed LASER’s Water Framework to secure contracts for water and wastewater services</w:t>
      </w:r>
    </w:p>
    <w:p w14:paraId="715E097E" w14:textId="4B39DE0B" w:rsidR="00F4742E" w:rsidRDefault="373FE7A7" w:rsidP="00AE3D75">
      <w:pPr>
        <w:pStyle w:val="bParagraphtext"/>
      </w:pPr>
      <w:r>
        <w:t xml:space="preserve">The Council’s current Water and Wastewater Retail Services contract with Wave runs from 15 September 2021 to 14 September 2024, with the option to extend to 14 September 2026. </w:t>
      </w:r>
    </w:p>
    <w:p w14:paraId="06082BE8" w14:textId="5C2347D5" w:rsidR="00DB1E8A" w:rsidRPr="00AB7C59" w:rsidRDefault="00DB1E8A" w:rsidP="00AE3D75">
      <w:pPr>
        <w:pStyle w:val="bParagraphtext"/>
      </w:pPr>
      <w:r>
        <w:lastRenderedPageBreak/>
        <w:t>Wave were selected via a mini competition carried out by LASER for the Council in 2020, w</w:t>
      </w:r>
      <w:r w:rsidR="00D20937">
        <w:t>h</w:t>
      </w:r>
      <w:r>
        <w:t xml:space="preserve">ere they ranked highest </w:t>
      </w:r>
      <w:r w:rsidR="00FE158A">
        <w:t>overall</w:t>
      </w:r>
      <w:r w:rsidR="00D20937">
        <w:t xml:space="preserve">. Wave’s response showed a good level of customer service and they scored well in the </w:t>
      </w:r>
      <w:r>
        <w:t xml:space="preserve">added value section. </w:t>
      </w:r>
    </w:p>
    <w:p w14:paraId="5653C603" w14:textId="7440A51B" w:rsidR="0050524E" w:rsidRPr="00AB7C59" w:rsidRDefault="373FE7A7" w:rsidP="008B6119">
      <w:pPr>
        <w:pStyle w:val="bParagraphtext"/>
      </w:pPr>
      <w:r>
        <w:t xml:space="preserve">The options available to the Council are to: </w:t>
      </w:r>
    </w:p>
    <w:p w14:paraId="6F0AFF08" w14:textId="4B1FA06B" w:rsidR="0050524E" w:rsidRPr="00AB7C59" w:rsidRDefault="373FE7A7" w:rsidP="0050524E">
      <w:pPr>
        <w:pStyle w:val="bParagraphtext"/>
        <w:numPr>
          <w:ilvl w:val="1"/>
          <w:numId w:val="2"/>
        </w:numPr>
      </w:pPr>
      <w:r>
        <w:t>Extend the current contract for two years</w:t>
      </w:r>
    </w:p>
    <w:p w14:paraId="175A0DE1" w14:textId="097091F5" w:rsidR="00D20937" w:rsidRPr="00AB7C59" w:rsidRDefault="00D20937" w:rsidP="0050524E">
      <w:pPr>
        <w:pStyle w:val="bParagraphtext"/>
        <w:numPr>
          <w:ilvl w:val="1"/>
          <w:numId w:val="2"/>
        </w:numPr>
      </w:pPr>
      <w:r>
        <w:t xml:space="preserve">Sign a separate access agreement with LASER to: </w:t>
      </w:r>
    </w:p>
    <w:p w14:paraId="4A54D425" w14:textId="1AF86FBA" w:rsidR="007322AB" w:rsidRPr="00AB7C59" w:rsidRDefault="373FE7A7" w:rsidP="007322AB">
      <w:pPr>
        <w:pStyle w:val="bParagraphtext"/>
        <w:numPr>
          <w:ilvl w:val="2"/>
          <w:numId w:val="2"/>
        </w:numPr>
      </w:pPr>
      <w:r>
        <w:t>Run a mini competition</w:t>
      </w:r>
      <w:r w:rsidR="007322AB">
        <w:t xml:space="preserve">, </w:t>
      </w:r>
      <w:r>
        <w:t>to assess all suppliers</w:t>
      </w:r>
      <w:r w:rsidR="007322AB">
        <w:t xml:space="preserve"> on LASER’s framework to respond with quality service offerings and pricing to meet the Council’s requirements. The process for a mini competition from initial draft of the tender pack to awarding the winning retailer will take around 3 months.</w:t>
      </w:r>
    </w:p>
    <w:p w14:paraId="4B15A203" w14:textId="20BF0BBE" w:rsidR="00D20937" w:rsidRPr="00AB7C59" w:rsidRDefault="00D20937" w:rsidP="00D20937">
      <w:pPr>
        <w:pStyle w:val="bParagraphtext"/>
        <w:numPr>
          <w:ilvl w:val="2"/>
          <w:numId w:val="2"/>
        </w:numPr>
      </w:pPr>
      <w:r>
        <w:t>Direct award another supplier under LASER’s LOT 1 route based upon the rationale of either Overall Top Scorer, Price, Quality of Services, Added Value Services and Social Value</w:t>
      </w:r>
    </w:p>
    <w:p w14:paraId="10D5051C" w14:textId="3D02397F" w:rsidR="00DB1E8A" w:rsidRPr="00AB7C59" w:rsidRDefault="373FE7A7" w:rsidP="00D2797F">
      <w:pPr>
        <w:pStyle w:val="bParagraphtext"/>
      </w:pPr>
      <w:r>
        <w:t>It is recommended that the Council extend the current water contract for a further two years (total value c</w:t>
      </w:r>
      <w:r w:rsidR="00FD6507">
        <w:t>a</w:t>
      </w:r>
      <w:r>
        <w:t>.£</w:t>
      </w:r>
      <w:r w:rsidR="0012264F">
        <w:t>416,000</w:t>
      </w:r>
      <w:r>
        <w:t>). This is because</w:t>
      </w:r>
      <w:r w:rsidR="00DB1E8A">
        <w:t xml:space="preserve">: </w:t>
      </w:r>
    </w:p>
    <w:p w14:paraId="0E4AB0E6" w14:textId="0435ECE1" w:rsidR="00DB1E8A" w:rsidRPr="00AB7C59" w:rsidRDefault="00DB1E8A" w:rsidP="00DB1E8A">
      <w:pPr>
        <w:pStyle w:val="bParagraphtext"/>
        <w:numPr>
          <w:ilvl w:val="1"/>
          <w:numId w:val="2"/>
        </w:numPr>
      </w:pPr>
      <w:r>
        <w:t>T</w:t>
      </w:r>
      <w:r w:rsidR="373FE7A7">
        <w:t>he contract was</w:t>
      </w:r>
      <w:r w:rsidR="00D20937">
        <w:t xml:space="preserve"> only</w:t>
      </w:r>
      <w:r w:rsidR="373FE7A7">
        <w:t xml:space="preserve"> recently agreed via a mini-competition (202</w:t>
      </w:r>
      <w:r>
        <w:t>0</w:t>
      </w:r>
      <w:r w:rsidR="373FE7A7">
        <w:t>)</w:t>
      </w:r>
      <w:r w:rsidR="00D20937">
        <w:t xml:space="preserve">, where Wave ranked highest overall. </w:t>
      </w:r>
    </w:p>
    <w:p w14:paraId="7DF66811" w14:textId="5941A7BE" w:rsidR="00DB1E8A" w:rsidRPr="00AB7C59" w:rsidRDefault="00DB1E8A" w:rsidP="00DB1E8A">
      <w:pPr>
        <w:pStyle w:val="bParagraphtext"/>
        <w:numPr>
          <w:ilvl w:val="1"/>
          <w:numId w:val="2"/>
        </w:numPr>
      </w:pPr>
      <w:r>
        <w:t xml:space="preserve">The current retail uplift applied by WAVE </w:t>
      </w:r>
      <w:r w:rsidR="00FE158A">
        <w:t xml:space="preserve">and LASER’s fees </w:t>
      </w:r>
      <w:r>
        <w:t xml:space="preserve">would continue with the 2-year extension. If the Council did not extend </w:t>
      </w:r>
      <w:r w:rsidR="00D20937">
        <w:t xml:space="preserve">and decided to run a mini competition or direct award to an alternative supplier, </w:t>
      </w:r>
      <w:r>
        <w:t xml:space="preserve">based on current market conditions this uplift would </w:t>
      </w:r>
      <w:r w:rsidR="00FE158A">
        <w:t>increase by c</w:t>
      </w:r>
      <w:r w:rsidR="00FD6507">
        <w:t>a</w:t>
      </w:r>
      <w:r w:rsidR="00FE158A">
        <w:t>.3%</w:t>
      </w:r>
      <w:r>
        <w:t xml:space="preserve"> (inclusive of LASER fees)</w:t>
      </w:r>
      <w:r w:rsidR="25F8A83E">
        <w:t>, likely increasing overall costs to the Council</w:t>
      </w:r>
      <w:r>
        <w:t xml:space="preserve">. </w:t>
      </w:r>
    </w:p>
    <w:p w14:paraId="11707E8C" w14:textId="70B5E7FC" w:rsidR="007322AB" w:rsidRPr="00AB7C59" w:rsidRDefault="007322AB" w:rsidP="00DB1E8A">
      <w:pPr>
        <w:pStyle w:val="bParagraphtext"/>
        <w:numPr>
          <w:ilvl w:val="1"/>
          <w:numId w:val="2"/>
        </w:numPr>
      </w:pPr>
      <w:r>
        <w:t xml:space="preserve">Re-procurement is a time and resource intensive process, for little likely benefit (due to the current market conditions). </w:t>
      </w:r>
    </w:p>
    <w:p w14:paraId="6E16EAA0" w14:textId="77777777" w:rsidR="00DB1E8A" w:rsidRDefault="00DB1E8A" w:rsidP="0039654D">
      <w:pPr>
        <w:pStyle w:val="bParagraphtext"/>
        <w:numPr>
          <w:ilvl w:val="0"/>
          <w:numId w:val="0"/>
        </w:numPr>
      </w:pPr>
    </w:p>
    <w:p w14:paraId="110104F1" w14:textId="77777777" w:rsidR="0040736F" w:rsidRPr="002B6836" w:rsidRDefault="002329CF" w:rsidP="002B6836">
      <w:pPr>
        <w:pStyle w:val="Heading1"/>
      </w:pPr>
      <w:r w:rsidRPr="002B6836">
        <w:t>Financial implications</w:t>
      </w:r>
    </w:p>
    <w:p w14:paraId="2E9ED116" w14:textId="0C8E3080" w:rsidR="00A00CCD" w:rsidRDefault="00A00CCD" w:rsidP="00FD6507">
      <w:pPr>
        <w:pStyle w:val="bParagraphtext"/>
        <w:rPr>
          <w:rFonts w:cstheme="minorBidi"/>
        </w:rPr>
      </w:pPr>
      <w:r>
        <w:t>Energy is a volatile market and energy prices have risen significantly in the last 18 months. Preferential rates are most likely to be secured by purchasing as far as possible in advance as part of an aggregated volume.</w:t>
      </w:r>
    </w:p>
    <w:p w14:paraId="2D983A95" w14:textId="3D7AE48D" w:rsidR="00FD6507" w:rsidRPr="00635790" w:rsidRDefault="00FD6507" w:rsidP="00FD6507">
      <w:pPr>
        <w:pStyle w:val="bParagraphtext"/>
        <w:rPr>
          <w:rFonts w:cstheme="minorBidi"/>
        </w:rPr>
      </w:pPr>
      <w:r w:rsidRPr="53F3534C">
        <w:rPr>
          <w:rFonts w:cstheme="minorBidi"/>
        </w:rPr>
        <w:t xml:space="preserve">In the last financial year (22 – 23) the Council spent £2.8m on electricity, gas and water. Taking into account increases to unit rates in October 2022, it is estimated that this will increase to £3.7m in this financial year (23 – 24).  </w:t>
      </w:r>
      <w:r w:rsidR="001E5A08" w:rsidRPr="53F3534C">
        <w:rPr>
          <w:rFonts w:cstheme="minorBidi"/>
        </w:rPr>
        <w:t>E</w:t>
      </w:r>
      <w:r w:rsidRPr="53F3534C">
        <w:rPr>
          <w:rFonts w:cstheme="minorBidi"/>
        </w:rPr>
        <w:t>xpenditure (</w:t>
      </w:r>
      <w:r w:rsidR="001E5A08" w:rsidRPr="53F3534C">
        <w:rPr>
          <w:rFonts w:cstheme="minorBidi"/>
        </w:rPr>
        <w:t>for 23-24</w:t>
      </w:r>
      <w:r w:rsidRPr="53F3534C">
        <w:rPr>
          <w:rFonts w:cstheme="minorBidi"/>
        </w:rPr>
        <w:t>) is estimated to be split approximately as follows:</w:t>
      </w:r>
    </w:p>
    <w:p w14:paraId="440C3EFE" w14:textId="2AB274C1" w:rsidR="00FD6507" w:rsidRPr="004A1B1B" w:rsidRDefault="00FD6507" w:rsidP="00FD6507">
      <w:pPr>
        <w:pStyle w:val="ListParagraph"/>
        <w:numPr>
          <w:ilvl w:val="0"/>
          <w:numId w:val="6"/>
        </w:numPr>
        <w:tabs>
          <w:tab w:val="clear" w:pos="426"/>
        </w:tabs>
        <w:spacing w:after="160" w:line="259" w:lineRule="auto"/>
        <w:contextualSpacing/>
        <w:rPr>
          <w:rFonts w:cstheme="minorHAnsi"/>
        </w:rPr>
      </w:pPr>
      <w:r w:rsidRPr="004A1B1B">
        <w:rPr>
          <w:rFonts w:cstheme="minorHAnsi"/>
        </w:rPr>
        <w:t>Gas: £</w:t>
      </w:r>
      <w:r w:rsidR="001E5A08">
        <w:rPr>
          <w:rFonts w:cstheme="minorHAnsi"/>
        </w:rPr>
        <w:t>1.1</w:t>
      </w:r>
      <w:r>
        <w:rPr>
          <w:rFonts w:cstheme="minorHAnsi"/>
        </w:rPr>
        <w:t>m</w:t>
      </w:r>
    </w:p>
    <w:p w14:paraId="476DBC14" w14:textId="3595986F" w:rsidR="00FD6507" w:rsidRDefault="00FD6507" w:rsidP="00FD6507">
      <w:pPr>
        <w:pStyle w:val="ListParagraph"/>
        <w:numPr>
          <w:ilvl w:val="0"/>
          <w:numId w:val="6"/>
        </w:numPr>
        <w:tabs>
          <w:tab w:val="clear" w:pos="426"/>
        </w:tabs>
        <w:spacing w:after="160" w:line="259" w:lineRule="auto"/>
        <w:contextualSpacing/>
        <w:rPr>
          <w:rFonts w:cstheme="minorHAnsi"/>
        </w:rPr>
      </w:pPr>
      <w:r w:rsidRPr="004A1B1B">
        <w:rPr>
          <w:rFonts w:cstheme="minorHAnsi"/>
        </w:rPr>
        <w:t>Elec</w:t>
      </w:r>
      <w:r>
        <w:rPr>
          <w:rFonts w:cstheme="minorHAnsi"/>
        </w:rPr>
        <w:t>tricity</w:t>
      </w:r>
      <w:r w:rsidRPr="004A1B1B">
        <w:rPr>
          <w:rFonts w:cstheme="minorHAnsi"/>
        </w:rPr>
        <w:t>: £</w:t>
      </w:r>
      <w:r w:rsidR="001E5A08">
        <w:rPr>
          <w:rFonts w:cstheme="minorHAnsi"/>
        </w:rPr>
        <w:t>2.4</w:t>
      </w:r>
      <w:r>
        <w:rPr>
          <w:rFonts w:cstheme="minorHAnsi"/>
        </w:rPr>
        <w:t>m</w:t>
      </w:r>
    </w:p>
    <w:p w14:paraId="2562164E" w14:textId="52FC32EB" w:rsidR="0012264F" w:rsidRDefault="00FD6507" w:rsidP="00FD6507">
      <w:pPr>
        <w:pStyle w:val="ListParagraph"/>
        <w:numPr>
          <w:ilvl w:val="0"/>
          <w:numId w:val="6"/>
        </w:numPr>
        <w:tabs>
          <w:tab w:val="clear" w:pos="426"/>
        </w:tabs>
        <w:spacing w:after="160" w:line="259" w:lineRule="auto"/>
        <w:contextualSpacing/>
        <w:rPr>
          <w:rFonts w:cstheme="minorHAnsi"/>
        </w:rPr>
      </w:pPr>
      <w:r w:rsidRPr="00FD6507">
        <w:rPr>
          <w:rFonts w:cstheme="minorHAnsi"/>
        </w:rPr>
        <w:t>Water: £0.2m</w:t>
      </w:r>
    </w:p>
    <w:p w14:paraId="63D880A3" w14:textId="25BA30ED" w:rsidR="001E5A08" w:rsidRPr="00A00CCD" w:rsidRDefault="001E5A08" w:rsidP="00A00CCD">
      <w:pPr>
        <w:pStyle w:val="bParagraphtext"/>
        <w:rPr>
          <w:rFonts w:cstheme="minorBidi"/>
        </w:rPr>
      </w:pPr>
      <w:r w:rsidRPr="53F3534C">
        <w:rPr>
          <w:rFonts w:cstheme="minorBidi"/>
        </w:rPr>
        <w:t xml:space="preserve">If the Council </w:t>
      </w:r>
      <w:r>
        <w:t xml:space="preserve">decides to run a mini competition or direct award to an alternative </w:t>
      </w:r>
      <w:r w:rsidR="2C5F3EA2">
        <w:t xml:space="preserve">water services </w:t>
      </w:r>
      <w:r>
        <w:t>supplier, based on current market conditions the retail uplift would increase by ca.3% (ca.10k) per annum.</w:t>
      </w:r>
      <w:r w:rsidRPr="53F3534C">
        <w:rPr>
          <w:rFonts w:cstheme="minorBidi"/>
        </w:rPr>
        <w:t xml:space="preserve">  </w:t>
      </w:r>
    </w:p>
    <w:p w14:paraId="783F65A6" w14:textId="77777777" w:rsidR="004A0C79" w:rsidRDefault="004A0C79">
      <w:pPr>
        <w:spacing w:after="0"/>
        <w:rPr>
          <w:b/>
        </w:rPr>
      </w:pPr>
      <w:r>
        <w:br w:type="page"/>
      </w:r>
    </w:p>
    <w:p w14:paraId="518FC3B4" w14:textId="36B27BAD" w:rsidR="0040736F" w:rsidRPr="001356F1" w:rsidRDefault="00DA614B" w:rsidP="004A6D2F">
      <w:pPr>
        <w:pStyle w:val="Heading1"/>
      </w:pPr>
      <w:r w:rsidRPr="001356F1">
        <w:lastRenderedPageBreak/>
        <w:t>Legal issues</w:t>
      </w:r>
    </w:p>
    <w:p w14:paraId="6B06A340" w14:textId="2B5086F3" w:rsidR="00084323" w:rsidRDefault="00084323" w:rsidP="00084323">
      <w:pPr>
        <w:pStyle w:val="bParagraphtext"/>
      </w:pPr>
      <w:r>
        <w:t>Under Parts 4.5(10) 4.5 (11) and 19 (22) of the Constitution Cabinet is empowered to take the decisions set out in the recommendation. Under section 9E (3) (c) of the Local Government Act 2000 Cabinet is empowered to delegate its functions to officers.</w:t>
      </w:r>
    </w:p>
    <w:p w14:paraId="55B7C794" w14:textId="3519F3EB" w:rsidR="00084323" w:rsidRDefault="00084323" w:rsidP="00084323">
      <w:pPr>
        <w:pStyle w:val="bParagraphtext"/>
      </w:pPr>
      <w:r>
        <w:t>The procurement of any contracts to be awarded under the officer delegations will need to be comply with the Council’s Constitution and the Public Contract Regulations 2015. Following a procurement any decision to award a contract of £1 million or greater will be Key Decision and will need to comply with the procedure for taking Key Decision set out in the Council’s Constitution.</w:t>
      </w:r>
    </w:p>
    <w:p w14:paraId="145E08BC" w14:textId="12F762C2" w:rsidR="00084323" w:rsidRPr="001356F1" w:rsidRDefault="00084323" w:rsidP="00084323">
      <w:pPr>
        <w:pStyle w:val="bParagraphtext"/>
      </w:pPr>
      <w:r>
        <w:t>The Council’s current contract for water does provide for the recommended extension period and to agree the proposed extension is lawful.</w:t>
      </w:r>
    </w:p>
    <w:p w14:paraId="0E2ECEA8" w14:textId="77777777" w:rsidR="002329CF" w:rsidRPr="001356F1" w:rsidRDefault="002329CF" w:rsidP="004A6D2F">
      <w:pPr>
        <w:pStyle w:val="Heading1"/>
      </w:pPr>
      <w:r w:rsidRPr="001356F1">
        <w:t>Level of risk</w:t>
      </w:r>
    </w:p>
    <w:p w14:paraId="6A2D3B24" w14:textId="1F0CD21A" w:rsidR="00E263F1" w:rsidRPr="00FE158A" w:rsidRDefault="00661843" w:rsidP="00E263F1">
      <w:pPr>
        <w:pStyle w:val="bParagraphtext"/>
      </w:pPr>
      <w:r>
        <w:t xml:space="preserve">A risk register is attached in Appendix </w:t>
      </w:r>
      <w:r w:rsidR="00FE158A">
        <w:t>2</w:t>
      </w:r>
      <w:r>
        <w:t xml:space="preserve">. </w:t>
      </w:r>
      <w:r w:rsidR="00FE158A">
        <w:t xml:space="preserve">The main risk is that Cabinet decides not to delegate powers (as </w:t>
      </w:r>
      <w:r w:rsidR="00ED6D47">
        <w:t>set out</w:t>
      </w:r>
      <w:r w:rsidR="00FE158A">
        <w:t xml:space="preserve"> above) to the Head of Corporate Strategy, which would delay the Council entering into contracts by a month. </w:t>
      </w:r>
    </w:p>
    <w:p w14:paraId="7C03935C" w14:textId="77777777" w:rsidR="002329CF" w:rsidRPr="001356F1" w:rsidRDefault="002329CF" w:rsidP="0050321C">
      <w:pPr>
        <w:pStyle w:val="Heading1"/>
      </w:pPr>
      <w:r w:rsidRPr="001356F1">
        <w:t xml:space="preserve">Equalities impact </w:t>
      </w:r>
    </w:p>
    <w:p w14:paraId="19CF611F" w14:textId="002EF75E" w:rsidR="00FB3B71" w:rsidRPr="00E263F1" w:rsidRDefault="00E263F1" w:rsidP="00E263F1">
      <w:pPr>
        <w:pStyle w:val="bParagraphtext"/>
      </w:pPr>
      <w:r w:rsidRPr="53F3534C">
        <w:rPr>
          <w:rFonts w:cs="Arial"/>
          <w:color w:val="auto"/>
        </w:rPr>
        <w:t>There are no equalities impact issues with this decision.</w:t>
      </w:r>
    </w:p>
    <w:p w14:paraId="24D4781D" w14:textId="77777777" w:rsidR="00E263F1" w:rsidRPr="00E263F1" w:rsidRDefault="00E263F1" w:rsidP="00E263F1">
      <w:pPr>
        <w:pStyle w:val="bParagraphtext"/>
        <w:numPr>
          <w:ilvl w:val="0"/>
          <w:numId w:val="0"/>
        </w:numPr>
        <w:ind w:left="360"/>
      </w:pPr>
    </w:p>
    <w:p w14:paraId="43CD99DC" w14:textId="77777777" w:rsidR="00FB3B71" w:rsidRDefault="00950824" w:rsidP="00FB3B71">
      <w:pPr>
        <w:pStyle w:val="bParagraphtext"/>
        <w:numPr>
          <w:ilvl w:val="0"/>
          <w:numId w:val="0"/>
        </w:numPr>
      </w:pPr>
      <w:r>
        <w:rPr>
          <w:b/>
        </w:rPr>
        <w:t>Carbon and Environmental Considerations</w:t>
      </w:r>
      <w:r w:rsidR="00FB3B71" w:rsidRPr="00FB3B71">
        <w:rPr>
          <w:b/>
        </w:rPr>
        <w:t xml:space="preserve"> </w:t>
      </w:r>
    </w:p>
    <w:p w14:paraId="3BE68CEB" w14:textId="39F631D6" w:rsidR="00084323" w:rsidRDefault="00084323" w:rsidP="00E263F1">
      <w:pPr>
        <w:pStyle w:val="bParagraphtext"/>
      </w:pPr>
      <w:r>
        <w:t>The Council’s Carbon Management Plan sets out how the Council will achieve net Zero by 2030 for scope 1 and scope 2 greenhouse gas emissions as well as scope 3 emissions associated with the transmission and distribution of standard grid electricity, business travel and water use.</w:t>
      </w:r>
    </w:p>
    <w:p w14:paraId="13C35B9B" w14:textId="13A96546" w:rsidR="00E263F1" w:rsidRDefault="00084323" w:rsidP="00E263F1">
      <w:pPr>
        <w:pStyle w:val="bParagraphtext"/>
      </w:pPr>
      <w:r>
        <w:t xml:space="preserve">The Council’s procurement of electricity, gas and water will have minimal positive or negative impact on this target. </w:t>
      </w:r>
      <w:r w:rsidR="00E263F1">
        <w:t xml:space="preserve">In December 2021, Cabinet took a decision – advised by </w:t>
      </w:r>
      <w:r w:rsidR="00A00CCD">
        <w:t xml:space="preserve">the Council’s Scientific Advisor </w:t>
      </w:r>
      <w:r w:rsidR="00E263F1">
        <w:t xml:space="preserve">– to reverse the previous Council commitment to purchase “green” gas. </w:t>
      </w:r>
      <w:r w:rsidR="00A00CCD">
        <w:t>The</w:t>
      </w:r>
      <w:r w:rsidR="00E263F1">
        <w:t xml:space="preserve"> rationale was to prioritise expenditure according to the following hierarchy: </w:t>
      </w:r>
    </w:p>
    <w:p w14:paraId="2EA72DEB" w14:textId="77777777" w:rsidR="00E263F1" w:rsidRDefault="00E263F1" w:rsidP="00E263F1">
      <w:pPr>
        <w:pStyle w:val="bParagraphtext"/>
        <w:numPr>
          <w:ilvl w:val="1"/>
          <w:numId w:val="2"/>
        </w:numPr>
      </w:pPr>
      <w:r>
        <w:t xml:space="preserve">‘Additional’ emissions reduction by the Council from its own activities </w:t>
      </w:r>
    </w:p>
    <w:p w14:paraId="7E3AEE67" w14:textId="77777777" w:rsidR="00E263F1" w:rsidRDefault="00E263F1" w:rsidP="00E263F1">
      <w:pPr>
        <w:pStyle w:val="bParagraphtext"/>
        <w:numPr>
          <w:ilvl w:val="1"/>
          <w:numId w:val="2"/>
        </w:numPr>
      </w:pPr>
      <w:r>
        <w:t xml:space="preserve">Insetting (i.e. support for emissions reduction by others in Oxford). </w:t>
      </w:r>
    </w:p>
    <w:p w14:paraId="755C22E6" w14:textId="77777777" w:rsidR="00E263F1" w:rsidRDefault="00E263F1" w:rsidP="00E263F1">
      <w:pPr>
        <w:pStyle w:val="bParagraphtext"/>
        <w:numPr>
          <w:ilvl w:val="1"/>
          <w:numId w:val="2"/>
        </w:numPr>
      </w:pPr>
      <w:r>
        <w:t xml:space="preserve">Offsetting actions outside the City, including the purchase of green gas credits </w:t>
      </w:r>
    </w:p>
    <w:p w14:paraId="254F8807" w14:textId="2AC73FCB" w:rsidR="00E263F1" w:rsidRDefault="00E263F1" w:rsidP="00E263F1">
      <w:pPr>
        <w:pStyle w:val="bParagraphtext"/>
      </w:pPr>
      <w:r>
        <w:t xml:space="preserve">As a result, a Net Zero Transition Fund was established, which receives funds </w:t>
      </w:r>
      <w:r w:rsidR="00F93A28">
        <w:t xml:space="preserve">annually </w:t>
      </w:r>
      <w:r>
        <w:t>that would otherwise be sent on offsetting,</w:t>
      </w:r>
      <w:r w:rsidR="00A00CCD">
        <w:t xml:space="preserve"> green gas (</w:t>
      </w:r>
      <w:r>
        <w:t>RGGO</w:t>
      </w:r>
      <w:r w:rsidR="00A00CCD">
        <w:t xml:space="preserve">s) </w:t>
      </w:r>
      <w:r>
        <w:t xml:space="preserve">and </w:t>
      </w:r>
      <w:r w:rsidR="00A00CCD">
        <w:t>green electricity (</w:t>
      </w:r>
      <w:r>
        <w:t>REGOs</w:t>
      </w:r>
      <w:r w:rsidR="00A00CCD">
        <w:t>)</w:t>
      </w:r>
      <w:r>
        <w:t xml:space="preserve">. These funds are used to </w:t>
      </w:r>
      <w:r w:rsidR="00F93A28">
        <w:t xml:space="preserve">support </w:t>
      </w:r>
      <w:r>
        <w:t xml:space="preserve">additional carbon reduction projects in the City. </w:t>
      </w:r>
    </w:p>
    <w:p w14:paraId="67AB920E" w14:textId="5E2D0E27" w:rsidR="00084323" w:rsidRPr="001356F1" w:rsidRDefault="00E263F1" w:rsidP="00084323">
      <w:pPr>
        <w:pStyle w:val="bParagraphtext"/>
      </w:pPr>
      <w:r>
        <w:t>The Council’s approach to offsetting and renewable energy purchase is in line with best practice advice and supports the Council’s 2040 and 2030 net zero goals.</w:t>
      </w:r>
    </w:p>
    <w:p w14:paraId="1B7CEA3E" w14:textId="332B8E49" w:rsidR="004A0C79" w:rsidRDefault="004A0C79">
      <w:pPr>
        <w:spacing w:after="0"/>
      </w:pPr>
      <w:r>
        <w:br w:type="page"/>
      </w:r>
    </w:p>
    <w:p w14:paraId="28FE5F76"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1DC5E550"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232FFB4"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9885231" w14:textId="1E6D7A79" w:rsidR="00E87F7A" w:rsidRPr="001356F1" w:rsidRDefault="00E263F1" w:rsidP="00A46E98">
            <w:r>
              <w:t>Rose Dickinson</w:t>
            </w:r>
          </w:p>
        </w:tc>
      </w:tr>
      <w:tr w:rsidR="00DF093E" w:rsidRPr="001356F1" w14:paraId="58F9E961"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4BFAFACA"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7673F138" w14:textId="20833A28" w:rsidR="00E87F7A" w:rsidRPr="001356F1" w:rsidRDefault="00401C3E" w:rsidP="00A46E98">
            <w:r>
              <w:t xml:space="preserve">Carbon Reduction Manager </w:t>
            </w:r>
          </w:p>
        </w:tc>
      </w:tr>
      <w:tr w:rsidR="00DF093E" w:rsidRPr="001356F1" w14:paraId="73370103" w14:textId="77777777" w:rsidTr="00A46E98">
        <w:trPr>
          <w:cantSplit/>
          <w:trHeight w:val="396"/>
        </w:trPr>
        <w:tc>
          <w:tcPr>
            <w:tcW w:w="3969" w:type="dxa"/>
            <w:tcBorders>
              <w:top w:val="nil"/>
              <w:left w:val="single" w:sz="8" w:space="0" w:color="000000"/>
              <w:bottom w:val="nil"/>
              <w:right w:val="nil"/>
            </w:tcBorders>
            <w:shd w:val="clear" w:color="auto" w:fill="auto"/>
          </w:tcPr>
          <w:p w14:paraId="067B07C8"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38E63975" w14:textId="16BB928F" w:rsidR="00E87F7A" w:rsidRPr="001356F1" w:rsidRDefault="00401C3E" w:rsidP="00A46E98">
            <w:r>
              <w:t xml:space="preserve">Environment Sustainability </w:t>
            </w:r>
          </w:p>
        </w:tc>
      </w:tr>
      <w:tr w:rsidR="00DF093E" w:rsidRPr="001356F1" w14:paraId="273013E5" w14:textId="77777777" w:rsidTr="00A46E98">
        <w:trPr>
          <w:cantSplit/>
          <w:trHeight w:val="396"/>
        </w:trPr>
        <w:tc>
          <w:tcPr>
            <w:tcW w:w="3969" w:type="dxa"/>
            <w:tcBorders>
              <w:top w:val="nil"/>
              <w:left w:val="single" w:sz="8" w:space="0" w:color="000000"/>
              <w:bottom w:val="nil"/>
              <w:right w:val="nil"/>
            </w:tcBorders>
            <w:shd w:val="clear" w:color="auto" w:fill="auto"/>
          </w:tcPr>
          <w:p w14:paraId="202EC32F"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D02958D" w14:textId="33572E1F" w:rsidR="00E87F7A" w:rsidRPr="001356F1" w:rsidRDefault="00E87F7A" w:rsidP="00A46E98">
            <w:r w:rsidRPr="001356F1">
              <w:t>01865</w:t>
            </w:r>
            <w:r w:rsidR="00401C3E">
              <w:t xml:space="preserve"> 252994</w:t>
            </w:r>
            <w:r w:rsidR="00401C3E">
              <w:rPr>
                <w:rFonts w:ascii="Calibri" w:hAnsi="Calibri" w:cs="Calibri"/>
                <w:sz w:val="22"/>
                <w:szCs w:val="22"/>
                <w:shd w:val="clear" w:color="auto" w:fill="FFFFFF"/>
              </w:rPr>
              <w:t> </w:t>
            </w:r>
          </w:p>
        </w:tc>
      </w:tr>
      <w:tr w:rsidR="005570B5" w:rsidRPr="001356F1" w14:paraId="29BC21D0"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A781194"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6B474F5A" w14:textId="706AC59C" w:rsidR="00E87F7A" w:rsidRPr="001356F1" w:rsidRDefault="00401C3E" w:rsidP="00A46E98">
            <w:pPr>
              <w:rPr>
                <w:rStyle w:val="Hyperlink"/>
                <w:color w:val="000000"/>
              </w:rPr>
            </w:pPr>
            <w:r>
              <w:rPr>
                <w:rStyle w:val="Hyperlink"/>
                <w:color w:val="000000"/>
              </w:rPr>
              <w:t>rdickinson@oxford.gov.uk</w:t>
            </w:r>
          </w:p>
        </w:tc>
      </w:tr>
    </w:tbl>
    <w:p w14:paraId="3169F49E"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71135EDC"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48DA12E3"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1E3B4B85" w14:textId="77777777" w:rsidR="00CE4C87" w:rsidRDefault="00CE4C87" w:rsidP="0093067A"/>
    <w:sectPr w:rsidR="00CE4C87" w:rsidSect="002B6836">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C354" w14:textId="77777777" w:rsidR="00CC14BD" w:rsidRDefault="00CC14BD" w:rsidP="004A6D2F">
      <w:r>
        <w:separator/>
      </w:r>
    </w:p>
  </w:endnote>
  <w:endnote w:type="continuationSeparator" w:id="0">
    <w:p w14:paraId="4E4BAA68" w14:textId="77777777" w:rsidR="00CC14BD" w:rsidRDefault="00CC14B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F203" w14:textId="77777777" w:rsidR="00364FAD" w:rsidRDefault="00364FAD" w:rsidP="004A6D2F">
    <w:pPr>
      <w:pStyle w:val="Footer"/>
    </w:pPr>
    <w:r>
      <w:t>Do not use a footer or page numbers.</w:t>
    </w:r>
  </w:p>
  <w:p w14:paraId="3CA016EF" w14:textId="77777777" w:rsidR="00364FAD" w:rsidRDefault="00364FAD" w:rsidP="004A6D2F">
    <w:pPr>
      <w:pStyle w:val="Footer"/>
    </w:pPr>
  </w:p>
  <w:p w14:paraId="649CB15A"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4389" w14:textId="293FF82C" w:rsidR="00A701B5" w:rsidRDefault="00A701B5"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AD353" w14:textId="77777777" w:rsidR="00CC14BD" w:rsidRDefault="00CC14BD" w:rsidP="004A6D2F">
      <w:r>
        <w:separator/>
      </w:r>
    </w:p>
  </w:footnote>
  <w:footnote w:type="continuationSeparator" w:id="0">
    <w:p w14:paraId="31CAF901" w14:textId="77777777" w:rsidR="00CC14BD" w:rsidRDefault="00CC14BD" w:rsidP="004A6D2F">
      <w:r>
        <w:continuationSeparator/>
      </w:r>
    </w:p>
  </w:footnote>
  <w:footnote w:id="1">
    <w:p w14:paraId="3B9031B2" w14:textId="77777777" w:rsidR="000A05A8" w:rsidRDefault="000A05A8" w:rsidP="000A05A8">
      <w:pPr>
        <w:pStyle w:val="FootnoteText"/>
      </w:pPr>
      <w:r>
        <w:rPr>
          <w:rStyle w:val="FootnoteReference"/>
        </w:rPr>
        <w:footnoteRef/>
      </w:r>
      <w:r>
        <w:t xml:space="preserve"> </w:t>
      </w:r>
      <w:r w:rsidRPr="0090496B">
        <w:t>https://www.gov.uk/guidance/buying-energy-options-for-public-sector-buyers</w:t>
      </w:r>
    </w:p>
  </w:footnote>
  <w:footnote w:id="2">
    <w:p w14:paraId="5C37AC9F" w14:textId="549B0B81" w:rsidR="0049476C" w:rsidRDefault="0049476C">
      <w:pPr>
        <w:pStyle w:val="FootnoteText"/>
      </w:pPr>
      <w:r>
        <w:rPr>
          <w:rStyle w:val="FootnoteReference"/>
        </w:rPr>
        <w:footnoteRef/>
      </w:r>
      <w:r>
        <w:t xml:space="preserve"> </w:t>
      </w:r>
      <w:r w:rsidRPr="0049476C">
        <w:t>https://www.local.gov.uk/publications/national-energy-category-strategy-local-government-2022-energising-procurement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77AB" w14:textId="77777777" w:rsidR="00D5547E" w:rsidRDefault="00C05260" w:rsidP="00D5547E">
    <w:pPr>
      <w:pStyle w:val="Header"/>
      <w:jc w:val="right"/>
    </w:pPr>
    <w:r>
      <w:rPr>
        <w:noProof/>
      </w:rPr>
      <w:drawing>
        <wp:inline distT="0" distB="0" distL="0" distR="0" wp14:anchorId="261267E3" wp14:editId="2B2846D5">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337" w:hanging="360"/>
      </w:pPr>
      <w:rPr>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473895"/>
    <w:multiLevelType w:val="hybridMultilevel"/>
    <w:tmpl w:val="45AC4D94"/>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5D5782E"/>
    <w:multiLevelType w:val="hybridMultilevel"/>
    <w:tmpl w:val="8BB0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573C7"/>
    <w:multiLevelType w:val="multilevel"/>
    <w:tmpl w:val="D8BE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E00F4C"/>
    <w:multiLevelType w:val="multilevel"/>
    <w:tmpl w:val="3B42C11A"/>
    <w:lvl w:ilvl="0">
      <w:start w:val="1"/>
      <w:numFmt w:val="decimal"/>
      <w:pStyle w:val="Sch1styleclause"/>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1stylesubclause"/>
      <w:lvlText w:val="%1.%2"/>
      <w:lvlJc w:val="left"/>
      <w:pPr>
        <w:tabs>
          <w:tab w:val="num" w:pos="720"/>
        </w:tabs>
        <w:ind w:left="720"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lowerLetter"/>
      <w:pStyle w:val="Sch1stylepara"/>
      <w:lvlText w:val="(%3)"/>
      <w:lvlJc w:val="left"/>
      <w:pPr>
        <w:tabs>
          <w:tab w:val="num" w:pos="1559"/>
        </w:tabs>
        <w:ind w:left="1559" w:hanging="567"/>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7" w15:restartNumberingAfterBreak="0">
    <w:nsid w:val="62837ECF"/>
    <w:multiLevelType w:val="hybridMultilevel"/>
    <w:tmpl w:val="37CC1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073898"/>
    <w:multiLevelType w:val="hybridMultilevel"/>
    <w:tmpl w:val="9DF65D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8365C6"/>
    <w:multiLevelType w:val="hybridMultilevel"/>
    <w:tmpl w:val="E67CE66C"/>
    <w:numStyleLink w:val="StyleNumberedLeft0cmHanging075cm"/>
  </w:abstractNum>
  <w:abstractNum w:abstractNumId="11" w15:restartNumberingAfterBreak="0">
    <w:nsid w:val="7BCB7EB8"/>
    <w:multiLevelType w:val="multilevel"/>
    <w:tmpl w:val="5C467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6423464">
    <w:abstractNumId w:val="0"/>
  </w:num>
  <w:num w:numId="2" w16cid:durableId="1004431171">
    <w:abstractNumId w:val="10"/>
    <w:lvlOverride w:ilvl="0">
      <w:lvl w:ilvl="0" w:tplc="E9FACFAE">
        <w:numFmt w:val="decimal"/>
        <w:pStyle w:val="ListParagraph"/>
        <w:lvlText w:val="%1."/>
        <w:lvlJc w:val="left"/>
        <w:pPr>
          <w:ind w:left="3337" w:hanging="360"/>
        </w:pPr>
        <w:rPr>
          <w:b w:val="0"/>
          <w:bCs w:val="0"/>
          <w:color w:val="000000"/>
          <w:sz w:val="24"/>
        </w:rPr>
      </w:lvl>
    </w:lvlOverride>
    <w:lvlOverride w:ilvl="1">
      <w:lvl w:ilvl="1" w:tplc="DE4ED44E">
        <w:start w:val="1"/>
        <w:numFmt w:val="lowerLetter"/>
        <w:lvlText w:val="%2."/>
        <w:lvlJc w:val="left"/>
        <w:pPr>
          <w:ind w:left="1068" w:hanging="360"/>
        </w:pPr>
        <w:rPr>
          <w:b w:val="0"/>
          <w:bCs w:val="0"/>
        </w:rPr>
      </w:lvl>
    </w:lvlOverride>
  </w:num>
  <w:num w:numId="3" w16cid:durableId="514924011">
    <w:abstractNumId w:val="3"/>
  </w:num>
  <w:num w:numId="4" w16cid:durableId="619072486">
    <w:abstractNumId w:val="1"/>
  </w:num>
  <w:num w:numId="5" w16cid:durableId="585186607">
    <w:abstractNumId w:val="8"/>
  </w:num>
  <w:num w:numId="6" w16cid:durableId="1609120740">
    <w:abstractNumId w:val="4"/>
  </w:num>
  <w:num w:numId="7" w16cid:durableId="570389364">
    <w:abstractNumId w:val="7"/>
  </w:num>
  <w:num w:numId="8" w16cid:durableId="692073890">
    <w:abstractNumId w:val="6"/>
  </w:num>
  <w:num w:numId="9" w16cid:durableId="1509907360">
    <w:abstractNumId w:val="9"/>
  </w:num>
  <w:num w:numId="10" w16cid:durableId="1583298232">
    <w:abstractNumId w:val="2"/>
  </w:num>
  <w:num w:numId="11" w16cid:durableId="2054116410">
    <w:abstractNumId w:val="5"/>
  </w:num>
  <w:num w:numId="12" w16cid:durableId="212619173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71"/>
    <w:rsid w:val="00010816"/>
    <w:rsid w:val="000117D4"/>
    <w:rsid w:val="00017004"/>
    <w:rsid w:val="000314D7"/>
    <w:rsid w:val="00034054"/>
    <w:rsid w:val="000403A7"/>
    <w:rsid w:val="00041AA2"/>
    <w:rsid w:val="00045F8B"/>
    <w:rsid w:val="00046D2B"/>
    <w:rsid w:val="000555F5"/>
    <w:rsid w:val="00056263"/>
    <w:rsid w:val="00064D8A"/>
    <w:rsid w:val="00064F82"/>
    <w:rsid w:val="00066510"/>
    <w:rsid w:val="00073380"/>
    <w:rsid w:val="00077523"/>
    <w:rsid w:val="00084323"/>
    <w:rsid w:val="000A05A8"/>
    <w:rsid w:val="000B1DFC"/>
    <w:rsid w:val="000B35C9"/>
    <w:rsid w:val="000C089F"/>
    <w:rsid w:val="000C3928"/>
    <w:rsid w:val="000C5E8E"/>
    <w:rsid w:val="000E32D5"/>
    <w:rsid w:val="000E76B6"/>
    <w:rsid w:val="000F4751"/>
    <w:rsid w:val="0010524C"/>
    <w:rsid w:val="00107942"/>
    <w:rsid w:val="00111FB1"/>
    <w:rsid w:val="00113418"/>
    <w:rsid w:val="0012264F"/>
    <w:rsid w:val="00124C9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1E5A08"/>
    <w:rsid w:val="002069B3"/>
    <w:rsid w:val="002329CF"/>
    <w:rsid w:val="00232F5B"/>
    <w:rsid w:val="00234239"/>
    <w:rsid w:val="00247C29"/>
    <w:rsid w:val="00260467"/>
    <w:rsid w:val="00263EA3"/>
    <w:rsid w:val="00284F85"/>
    <w:rsid w:val="002870C3"/>
    <w:rsid w:val="00287D5A"/>
    <w:rsid w:val="00290915"/>
    <w:rsid w:val="00296255"/>
    <w:rsid w:val="00296430"/>
    <w:rsid w:val="002A0830"/>
    <w:rsid w:val="002A22E2"/>
    <w:rsid w:val="002A57A6"/>
    <w:rsid w:val="002B6836"/>
    <w:rsid w:val="002C64F7"/>
    <w:rsid w:val="002D2E03"/>
    <w:rsid w:val="002D7FD4"/>
    <w:rsid w:val="002E37BD"/>
    <w:rsid w:val="002F41F2"/>
    <w:rsid w:val="00301BF3"/>
    <w:rsid w:val="0030208D"/>
    <w:rsid w:val="00323418"/>
    <w:rsid w:val="00331160"/>
    <w:rsid w:val="003357BF"/>
    <w:rsid w:val="003405FC"/>
    <w:rsid w:val="00341DA5"/>
    <w:rsid w:val="003614F1"/>
    <w:rsid w:val="00364FAD"/>
    <w:rsid w:val="0036738F"/>
    <w:rsid w:val="0036759C"/>
    <w:rsid w:val="00367AE5"/>
    <w:rsid w:val="00367D71"/>
    <w:rsid w:val="00372357"/>
    <w:rsid w:val="0038150A"/>
    <w:rsid w:val="003950FB"/>
    <w:rsid w:val="0039654D"/>
    <w:rsid w:val="003B6E75"/>
    <w:rsid w:val="003B7DA1"/>
    <w:rsid w:val="003D0379"/>
    <w:rsid w:val="003D2574"/>
    <w:rsid w:val="003D4C59"/>
    <w:rsid w:val="003E57C3"/>
    <w:rsid w:val="003F4267"/>
    <w:rsid w:val="003F4DFF"/>
    <w:rsid w:val="00401333"/>
    <w:rsid w:val="00401C3E"/>
    <w:rsid w:val="00404032"/>
    <w:rsid w:val="0040736F"/>
    <w:rsid w:val="00412C1F"/>
    <w:rsid w:val="004142C7"/>
    <w:rsid w:val="00420548"/>
    <w:rsid w:val="00421B4B"/>
    <w:rsid w:val="00421CB2"/>
    <w:rsid w:val="004268B9"/>
    <w:rsid w:val="00433B96"/>
    <w:rsid w:val="004375D1"/>
    <w:rsid w:val="004440F1"/>
    <w:rsid w:val="004456DD"/>
    <w:rsid w:val="00446CDF"/>
    <w:rsid w:val="004521B7"/>
    <w:rsid w:val="004548E0"/>
    <w:rsid w:val="00462AB5"/>
    <w:rsid w:val="00465EAF"/>
    <w:rsid w:val="004738C5"/>
    <w:rsid w:val="004748F3"/>
    <w:rsid w:val="0047737B"/>
    <w:rsid w:val="00491046"/>
    <w:rsid w:val="0049476C"/>
    <w:rsid w:val="00496078"/>
    <w:rsid w:val="004A0C79"/>
    <w:rsid w:val="004A2408"/>
    <w:rsid w:val="004A2AC7"/>
    <w:rsid w:val="004A6D2F"/>
    <w:rsid w:val="004B11AE"/>
    <w:rsid w:val="004C2887"/>
    <w:rsid w:val="004D2626"/>
    <w:rsid w:val="004D56FB"/>
    <w:rsid w:val="004D6ACE"/>
    <w:rsid w:val="004D6E26"/>
    <w:rsid w:val="004D77D3"/>
    <w:rsid w:val="004E2959"/>
    <w:rsid w:val="004E2CAE"/>
    <w:rsid w:val="004F175F"/>
    <w:rsid w:val="004F20EF"/>
    <w:rsid w:val="004F2A85"/>
    <w:rsid w:val="0050321C"/>
    <w:rsid w:val="0050524E"/>
    <w:rsid w:val="00507ECC"/>
    <w:rsid w:val="00522919"/>
    <w:rsid w:val="00542508"/>
    <w:rsid w:val="0054712D"/>
    <w:rsid w:val="00547EF6"/>
    <w:rsid w:val="00553554"/>
    <w:rsid w:val="005570B5"/>
    <w:rsid w:val="00567E18"/>
    <w:rsid w:val="00575F5F"/>
    <w:rsid w:val="00581805"/>
    <w:rsid w:val="005823F6"/>
    <w:rsid w:val="00584057"/>
    <w:rsid w:val="00585F76"/>
    <w:rsid w:val="00594B06"/>
    <w:rsid w:val="005A327E"/>
    <w:rsid w:val="005A34E4"/>
    <w:rsid w:val="005A6162"/>
    <w:rsid w:val="005A6610"/>
    <w:rsid w:val="005B161A"/>
    <w:rsid w:val="005B17F2"/>
    <w:rsid w:val="005B7FB0"/>
    <w:rsid w:val="005C35A5"/>
    <w:rsid w:val="005C577C"/>
    <w:rsid w:val="005D0621"/>
    <w:rsid w:val="005D1E27"/>
    <w:rsid w:val="005D2A3E"/>
    <w:rsid w:val="005E022E"/>
    <w:rsid w:val="005E5215"/>
    <w:rsid w:val="005F00C7"/>
    <w:rsid w:val="005F74A0"/>
    <w:rsid w:val="005F7F7E"/>
    <w:rsid w:val="00610AC5"/>
    <w:rsid w:val="00614693"/>
    <w:rsid w:val="00623C2F"/>
    <w:rsid w:val="00631C02"/>
    <w:rsid w:val="00633578"/>
    <w:rsid w:val="00635790"/>
    <w:rsid w:val="00637068"/>
    <w:rsid w:val="00650811"/>
    <w:rsid w:val="0065103F"/>
    <w:rsid w:val="00661843"/>
    <w:rsid w:val="00661D3E"/>
    <w:rsid w:val="00664CC7"/>
    <w:rsid w:val="0067058E"/>
    <w:rsid w:val="00673E37"/>
    <w:rsid w:val="00677EE2"/>
    <w:rsid w:val="00692627"/>
    <w:rsid w:val="006969E7"/>
    <w:rsid w:val="006A3643"/>
    <w:rsid w:val="006A67E2"/>
    <w:rsid w:val="006B10C2"/>
    <w:rsid w:val="006B50C7"/>
    <w:rsid w:val="006C2A29"/>
    <w:rsid w:val="006C3A96"/>
    <w:rsid w:val="006C64CF"/>
    <w:rsid w:val="006C7415"/>
    <w:rsid w:val="006D17B1"/>
    <w:rsid w:val="006D2F98"/>
    <w:rsid w:val="006D4752"/>
    <w:rsid w:val="006D702A"/>
    <w:rsid w:val="006D708A"/>
    <w:rsid w:val="006E14C1"/>
    <w:rsid w:val="006F0292"/>
    <w:rsid w:val="006F27FA"/>
    <w:rsid w:val="006F29F1"/>
    <w:rsid w:val="006F416B"/>
    <w:rsid w:val="006F519B"/>
    <w:rsid w:val="006F6F17"/>
    <w:rsid w:val="00713675"/>
    <w:rsid w:val="00715823"/>
    <w:rsid w:val="007253EF"/>
    <w:rsid w:val="007322AB"/>
    <w:rsid w:val="00737B93"/>
    <w:rsid w:val="00745BF0"/>
    <w:rsid w:val="00751EA3"/>
    <w:rsid w:val="00753B0F"/>
    <w:rsid w:val="007615FE"/>
    <w:rsid w:val="00763F5B"/>
    <w:rsid w:val="0076655C"/>
    <w:rsid w:val="007742DC"/>
    <w:rsid w:val="00783DD8"/>
    <w:rsid w:val="00791437"/>
    <w:rsid w:val="00797B43"/>
    <w:rsid w:val="007B0C2C"/>
    <w:rsid w:val="007B278E"/>
    <w:rsid w:val="007B5CA2"/>
    <w:rsid w:val="007C5C23"/>
    <w:rsid w:val="007E2A26"/>
    <w:rsid w:val="007F2348"/>
    <w:rsid w:val="007F4757"/>
    <w:rsid w:val="00803F07"/>
    <w:rsid w:val="0080749A"/>
    <w:rsid w:val="00821FB8"/>
    <w:rsid w:val="00822ACD"/>
    <w:rsid w:val="00827711"/>
    <w:rsid w:val="00840238"/>
    <w:rsid w:val="00855C66"/>
    <w:rsid w:val="00871EE4"/>
    <w:rsid w:val="00876C1A"/>
    <w:rsid w:val="008954DF"/>
    <w:rsid w:val="008A378C"/>
    <w:rsid w:val="008A7807"/>
    <w:rsid w:val="008B293F"/>
    <w:rsid w:val="008B6119"/>
    <w:rsid w:val="008B7371"/>
    <w:rsid w:val="008D3DDB"/>
    <w:rsid w:val="008F0401"/>
    <w:rsid w:val="008F3B04"/>
    <w:rsid w:val="008F573F"/>
    <w:rsid w:val="0090025D"/>
    <w:rsid w:val="0090048A"/>
    <w:rsid w:val="00901E50"/>
    <w:rsid w:val="009034EC"/>
    <w:rsid w:val="0090496B"/>
    <w:rsid w:val="00924526"/>
    <w:rsid w:val="0093067A"/>
    <w:rsid w:val="00941C60"/>
    <w:rsid w:val="00941FD1"/>
    <w:rsid w:val="0094335D"/>
    <w:rsid w:val="00950824"/>
    <w:rsid w:val="00957624"/>
    <w:rsid w:val="00966D42"/>
    <w:rsid w:val="00971689"/>
    <w:rsid w:val="0097170F"/>
    <w:rsid w:val="00973E90"/>
    <w:rsid w:val="00975465"/>
    <w:rsid w:val="00975B07"/>
    <w:rsid w:val="00980B4A"/>
    <w:rsid w:val="009868C7"/>
    <w:rsid w:val="00997798"/>
    <w:rsid w:val="009B3E8A"/>
    <w:rsid w:val="009B6143"/>
    <w:rsid w:val="009E1140"/>
    <w:rsid w:val="009E3D0A"/>
    <w:rsid w:val="009E51FC"/>
    <w:rsid w:val="009F1D28"/>
    <w:rsid w:val="009F5D9B"/>
    <w:rsid w:val="009F7618"/>
    <w:rsid w:val="00A00CCD"/>
    <w:rsid w:val="00A03826"/>
    <w:rsid w:val="00A04D23"/>
    <w:rsid w:val="00A06766"/>
    <w:rsid w:val="00A13765"/>
    <w:rsid w:val="00A209A3"/>
    <w:rsid w:val="00A21B12"/>
    <w:rsid w:val="00A23F80"/>
    <w:rsid w:val="00A241E4"/>
    <w:rsid w:val="00A31C15"/>
    <w:rsid w:val="00A37B97"/>
    <w:rsid w:val="00A46E98"/>
    <w:rsid w:val="00A6352B"/>
    <w:rsid w:val="00A679A5"/>
    <w:rsid w:val="00A701B5"/>
    <w:rsid w:val="00A714BB"/>
    <w:rsid w:val="00A77147"/>
    <w:rsid w:val="00A8674E"/>
    <w:rsid w:val="00A87B20"/>
    <w:rsid w:val="00A87D09"/>
    <w:rsid w:val="00A92D8F"/>
    <w:rsid w:val="00AA5E7D"/>
    <w:rsid w:val="00AB2988"/>
    <w:rsid w:val="00AB7999"/>
    <w:rsid w:val="00AB7C59"/>
    <w:rsid w:val="00AC1AE1"/>
    <w:rsid w:val="00AD3292"/>
    <w:rsid w:val="00AE1684"/>
    <w:rsid w:val="00AE3D75"/>
    <w:rsid w:val="00AE5930"/>
    <w:rsid w:val="00AE7AF0"/>
    <w:rsid w:val="00AF1298"/>
    <w:rsid w:val="00AF1565"/>
    <w:rsid w:val="00AF462C"/>
    <w:rsid w:val="00B00CE8"/>
    <w:rsid w:val="00B0482E"/>
    <w:rsid w:val="00B15AE5"/>
    <w:rsid w:val="00B15E75"/>
    <w:rsid w:val="00B33535"/>
    <w:rsid w:val="00B500CA"/>
    <w:rsid w:val="00B77E79"/>
    <w:rsid w:val="00B86314"/>
    <w:rsid w:val="00B91FCF"/>
    <w:rsid w:val="00B9400E"/>
    <w:rsid w:val="00BA1C2E"/>
    <w:rsid w:val="00BA3E02"/>
    <w:rsid w:val="00BA4B9A"/>
    <w:rsid w:val="00BC200B"/>
    <w:rsid w:val="00BC2881"/>
    <w:rsid w:val="00BC4756"/>
    <w:rsid w:val="00BC48A2"/>
    <w:rsid w:val="00BC69A4"/>
    <w:rsid w:val="00BD3C52"/>
    <w:rsid w:val="00BE0680"/>
    <w:rsid w:val="00BE0C17"/>
    <w:rsid w:val="00BE305F"/>
    <w:rsid w:val="00BE7BA3"/>
    <w:rsid w:val="00BF5682"/>
    <w:rsid w:val="00BF7B09"/>
    <w:rsid w:val="00C05260"/>
    <w:rsid w:val="00C06FCE"/>
    <w:rsid w:val="00C076B9"/>
    <w:rsid w:val="00C20A95"/>
    <w:rsid w:val="00C2692F"/>
    <w:rsid w:val="00C3207C"/>
    <w:rsid w:val="00C400E1"/>
    <w:rsid w:val="00C41187"/>
    <w:rsid w:val="00C63C31"/>
    <w:rsid w:val="00C651B5"/>
    <w:rsid w:val="00C65571"/>
    <w:rsid w:val="00C732F0"/>
    <w:rsid w:val="00C757A0"/>
    <w:rsid w:val="00C75C07"/>
    <w:rsid w:val="00C760DE"/>
    <w:rsid w:val="00C82630"/>
    <w:rsid w:val="00C85B4E"/>
    <w:rsid w:val="00C907F7"/>
    <w:rsid w:val="00CA2103"/>
    <w:rsid w:val="00CB21E8"/>
    <w:rsid w:val="00CB6B99"/>
    <w:rsid w:val="00CC0017"/>
    <w:rsid w:val="00CC14BD"/>
    <w:rsid w:val="00CD302E"/>
    <w:rsid w:val="00CE4C87"/>
    <w:rsid w:val="00CE544A"/>
    <w:rsid w:val="00CE6EC0"/>
    <w:rsid w:val="00CF25E4"/>
    <w:rsid w:val="00D055F6"/>
    <w:rsid w:val="00D11E1C"/>
    <w:rsid w:val="00D160B0"/>
    <w:rsid w:val="00D17F94"/>
    <w:rsid w:val="00D20937"/>
    <w:rsid w:val="00D223FC"/>
    <w:rsid w:val="00D26D1E"/>
    <w:rsid w:val="00D2797F"/>
    <w:rsid w:val="00D372D4"/>
    <w:rsid w:val="00D474CF"/>
    <w:rsid w:val="00D5547E"/>
    <w:rsid w:val="00D8537E"/>
    <w:rsid w:val="00D860E2"/>
    <w:rsid w:val="00D869A1"/>
    <w:rsid w:val="00DA413F"/>
    <w:rsid w:val="00DA4584"/>
    <w:rsid w:val="00DA614B"/>
    <w:rsid w:val="00DB1E8A"/>
    <w:rsid w:val="00DB7AD7"/>
    <w:rsid w:val="00DC24CB"/>
    <w:rsid w:val="00DC3060"/>
    <w:rsid w:val="00DD7A9E"/>
    <w:rsid w:val="00DE0FB2"/>
    <w:rsid w:val="00DF093E"/>
    <w:rsid w:val="00E01F42"/>
    <w:rsid w:val="00E206D6"/>
    <w:rsid w:val="00E263F1"/>
    <w:rsid w:val="00E3366E"/>
    <w:rsid w:val="00E430A4"/>
    <w:rsid w:val="00E52086"/>
    <w:rsid w:val="00E543A6"/>
    <w:rsid w:val="00E56823"/>
    <w:rsid w:val="00E60479"/>
    <w:rsid w:val="00E611EA"/>
    <w:rsid w:val="00E61D73"/>
    <w:rsid w:val="00E66DBD"/>
    <w:rsid w:val="00E73684"/>
    <w:rsid w:val="00E818D6"/>
    <w:rsid w:val="00E84D18"/>
    <w:rsid w:val="00E87F7A"/>
    <w:rsid w:val="00E91D08"/>
    <w:rsid w:val="00E94B3E"/>
    <w:rsid w:val="00E96BD7"/>
    <w:rsid w:val="00EA06EA"/>
    <w:rsid w:val="00EA0DB1"/>
    <w:rsid w:val="00EA0EE9"/>
    <w:rsid w:val="00ED52CA"/>
    <w:rsid w:val="00ED5860"/>
    <w:rsid w:val="00ED6D47"/>
    <w:rsid w:val="00EE35C9"/>
    <w:rsid w:val="00F05ECA"/>
    <w:rsid w:val="00F23C8F"/>
    <w:rsid w:val="00F26E21"/>
    <w:rsid w:val="00F33318"/>
    <w:rsid w:val="00F3566E"/>
    <w:rsid w:val="00F375FB"/>
    <w:rsid w:val="00F41AC1"/>
    <w:rsid w:val="00F421BA"/>
    <w:rsid w:val="00F4367A"/>
    <w:rsid w:val="00F445B1"/>
    <w:rsid w:val="00F45CD4"/>
    <w:rsid w:val="00F4742E"/>
    <w:rsid w:val="00F66DCA"/>
    <w:rsid w:val="00F74F53"/>
    <w:rsid w:val="00F7606D"/>
    <w:rsid w:val="00F81670"/>
    <w:rsid w:val="00F82024"/>
    <w:rsid w:val="00F865A3"/>
    <w:rsid w:val="00F93A28"/>
    <w:rsid w:val="00F95BC9"/>
    <w:rsid w:val="00FA624C"/>
    <w:rsid w:val="00FB3B71"/>
    <w:rsid w:val="00FD0FAC"/>
    <w:rsid w:val="00FD1DFA"/>
    <w:rsid w:val="00FD4966"/>
    <w:rsid w:val="00FD6507"/>
    <w:rsid w:val="00FE158A"/>
    <w:rsid w:val="00FE57DC"/>
    <w:rsid w:val="00FF095A"/>
    <w:rsid w:val="041FC90F"/>
    <w:rsid w:val="0498ADEC"/>
    <w:rsid w:val="068E4680"/>
    <w:rsid w:val="0836BF2C"/>
    <w:rsid w:val="09A0CE39"/>
    <w:rsid w:val="09D28F8D"/>
    <w:rsid w:val="09E3F023"/>
    <w:rsid w:val="0B553791"/>
    <w:rsid w:val="0E7CCC6C"/>
    <w:rsid w:val="10E523BA"/>
    <w:rsid w:val="132A440A"/>
    <w:rsid w:val="13503D8F"/>
    <w:rsid w:val="15A8B8A7"/>
    <w:rsid w:val="1C93812D"/>
    <w:rsid w:val="1DFAEEAF"/>
    <w:rsid w:val="1E0560FA"/>
    <w:rsid w:val="1E252341"/>
    <w:rsid w:val="1F86B329"/>
    <w:rsid w:val="23FEFA58"/>
    <w:rsid w:val="2440FBEF"/>
    <w:rsid w:val="246A3033"/>
    <w:rsid w:val="25F8A83E"/>
    <w:rsid w:val="2713F3E1"/>
    <w:rsid w:val="29146D12"/>
    <w:rsid w:val="2C5F3EA2"/>
    <w:rsid w:val="3515C5CE"/>
    <w:rsid w:val="360AE987"/>
    <w:rsid w:val="36DA7830"/>
    <w:rsid w:val="373FE7A7"/>
    <w:rsid w:val="3AC8AF34"/>
    <w:rsid w:val="3BFCB8C4"/>
    <w:rsid w:val="3D05F0D8"/>
    <w:rsid w:val="3F7530E9"/>
    <w:rsid w:val="421D2D6C"/>
    <w:rsid w:val="44753109"/>
    <w:rsid w:val="473D44D7"/>
    <w:rsid w:val="502B7AEA"/>
    <w:rsid w:val="52E1B087"/>
    <w:rsid w:val="538D7A2A"/>
    <w:rsid w:val="53F3534C"/>
    <w:rsid w:val="541DF2EE"/>
    <w:rsid w:val="594846EB"/>
    <w:rsid w:val="5BD530ED"/>
    <w:rsid w:val="5CA1B7DA"/>
    <w:rsid w:val="5E746C86"/>
    <w:rsid w:val="60248501"/>
    <w:rsid w:val="65940CA0"/>
    <w:rsid w:val="662F71C3"/>
    <w:rsid w:val="67320991"/>
    <w:rsid w:val="68CBAD62"/>
    <w:rsid w:val="6A80AB07"/>
    <w:rsid w:val="6BA9766E"/>
    <w:rsid w:val="6E71CB95"/>
    <w:rsid w:val="71A96C57"/>
    <w:rsid w:val="7505246E"/>
    <w:rsid w:val="75FC5F25"/>
    <w:rsid w:val="77AD7800"/>
    <w:rsid w:val="798523D5"/>
    <w:rsid w:val="79EEA3F4"/>
    <w:rsid w:val="7BAAD609"/>
    <w:rsid w:val="7F4A8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55A2D"/>
  <w15:docId w15:val="{2FE4606B-C78A-4DF4-A652-2C37D177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ind w:left="360"/>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semiHidden/>
    <w:unhideWhenUsed/>
    <w:rsid w:val="0090496B"/>
    <w:pPr>
      <w:spacing w:after="0"/>
    </w:pPr>
    <w:rPr>
      <w:sz w:val="20"/>
      <w:szCs w:val="20"/>
    </w:rPr>
  </w:style>
  <w:style w:type="character" w:customStyle="1" w:styleId="FootnoteTextChar">
    <w:name w:val="Footnote Text Char"/>
    <w:basedOn w:val="DefaultParagraphFont"/>
    <w:link w:val="FootnoteText"/>
    <w:semiHidden/>
    <w:rsid w:val="0090496B"/>
    <w:rPr>
      <w:color w:val="000000"/>
    </w:rPr>
  </w:style>
  <w:style w:type="character" w:styleId="FootnoteReference">
    <w:name w:val="footnote reference"/>
    <w:basedOn w:val="DefaultParagraphFont"/>
    <w:semiHidden/>
    <w:unhideWhenUsed/>
    <w:rsid w:val="0090496B"/>
    <w:rPr>
      <w:vertAlign w:val="superscript"/>
    </w:rPr>
  </w:style>
  <w:style w:type="character" w:customStyle="1" w:styleId="UnresolvedMention1">
    <w:name w:val="Unresolved Mention1"/>
    <w:basedOn w:val="DefaultParagraphFont"/>
    <w:uiPriority w:val="99"/>
    <w:semiHidden/>
    <w:unhideWhenUsed/>
    <w:rsid w:val="000555F5"/>
    <w:rPr>
      <w:color w:val="605E5C"/>
      <w:shd w:val="clear" w:color="auto" w:fill="E1DFDD"/>
    </w:rPr>
  </w:style>
  <w:style w:type="character" w:customStyle="1" w:styleId="ms-button-flexcontainer">
    <w:name w:val="ms-button-flexcontainer"/>
    <w:basedOn w:val="DefaultParagraphFont"/>
    <w:rsid w:val="00631C02"/>
  </w:style>
  <w:style w:type="character" w:customStyle="1" w:styleId="markbw7vhzozy">
    <w:name w:val="markbw7vhzozy"/>
    <w:basedOn w:val="DefaultParagraphFont"/>
    <w:rsid w:val="00631C02"/>
  </w:style>
  <w:style w:type="paragraph" w:customStyle="1" w:styleId="Sch1styleclause">
    <w:name w:val="Sch  (1style) clause"/>
    <w:basedOn w:val="Normal"/>
    <w:rsid w:val="00763F5B"/>
    <w:pPr>
      <w:numPr>
        <w:numId w:val="8"/>
      </w:numPr>
      <w:spacing w:before="320" w:after="240"/>
      <w:jc w:val="both"/>
      <w:outlineLvl w:val="0"/>
    </w:pPr>
    <w:rPr>
      <w:rFonts w:ascii="Tahoma" w:hAnsi="Tahoma" w:cs="Tahoma"/>
      <w:b/>
      <w:snapToGrid w:val="0"/>
      <w:w w:val="0"/>
      <w:sz w:val="20"/>
      <w:szCs w:val="20"/>
      <w:lang w:eastAsia="en-US"/>
    </w:rPr>
  </w:style>
  <w:style w:type="paragraph" w:customStyle="1" w:styleId="Sch1stylesubclause">
    <w:name w:val="Sch  (1style) sub clause"/>
    <w:basedOn w:val="Normal"/>
    <w:rsid w:val="00763F5B"/>
    <w:pPr>
      <w:numPr>
        <w:ilvl w:val="1"/>
        <w:numId w:val="8"/>
      </w:numPr>
      <w:spacing w:before="280"/>
      <w:jc w:val="both"/>
      <w:outlineLvl w:val="1"/>
    </w:pPr>
    <w:rPr>
      <w:rFonts w:cs="Arial"/>
      <w:sz w:val="20"/>
      <w:szCs w:val="20"/>
      <w:lang w:eastAsia="en-US"/>
    </w:rPr>
  </w:style>
  <w:style w:type="paragraph" w:customStyle="1" w:styleId="Sch1stylepara">
    <w:name w:val="Sch (1style) para"/>
    <w:basedOn w:val="Normal"/>
    <w:rsid w:val="00763F5B"/>
    <w:pPr>
      <w:numPr>
        <w:ilvl w:val="2"/>
        <w:numId w:val="8"/>
      </w:numPr>
      <w:jc w:val="both"/>
    </w:pPr>
    <w:rPr>
      <w:rFonts w:cs="Arial"/>
      <w:color w:val="auto"/>
      <w:sz w:val="20"/>
      <w:szCs w:val="20"/>
      <w:lang w:eastAsia="en-US"/>
    </w:rPr>
  </w:style>
  <w:style w:type="character" w:customStyle="1" w:styleId="A3">
    <w:name w:val="A3"/>
    <w:uiPriority w:val="99"/>
    <w:rsid w:val="00584057"/>
    <w:rPr>
      <w:rFonts w:cs="Source Sans Pro"/>
      <w:color w:val="000000"/>
    </w:rPr>
  </w:style>
  <w:style w:type="character" w:styleId="FollowedHyperlink">
    <w:name w:val="FollowedHyperlink"/>
    <w:basedOn w:val="DefaultParagraphFont"/>
    <w:semiHidden/>
    <w:unhideWhenUsed/>
    <w:rsid w:val="00E611EA"/>
    <w:rPr>
      <w:color w:val="800080" w:themeColor="followedHyperlink"/>
      <w:u w:val="single"/>
    </w:rPr>
  </w:style>
  <w:style w:type="paragraph" w:customStyle="1" w:styleId="xxelementtoproof">
    <w:name w:val="x_x_elementtoproof"/>
    <w:basedOn w:val="Normal"/>
    <w:rsid w:val="00DB1E8A"/>
    <w:pPr>
      <w:spacing w:before="100" w:beforeAutospacing="1" w:after="100" w:afterAutospacing="1"/>
    </w:pPr>
    <w:rPr>
      <w:rFonts w:ascii="Times New Roman" w:hAnsi="Times New Roman"/>
      <w:color w:val="auto"/>
    </w:rPr>
  </w:style>
  <w:style w:type="paragraph" w:customStyle="1" w:styleId="xxcontentpasted2">
    <w:name w:val="x_x_contentpasted2"/>
    <w:basedOn w:val="Normal"/>
    <w:rsid w:val="00DB1E8A"/>
    <w:pPr>
      <w:spacing w:before="100" w:beforeAutospacing="1" w:after="100" w:afterAutospacing="1"/>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48796089">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4897096">
      <w:bodyDiv w:val="1"/>
      <w:marLeft w:val="0"/>
      <w:marRight w:val="0"/>
      <w:marTop w:val="0"/>
      <w:marBottom w:val="0"/>
      <w:divBdr>
        <w:top w:val="none" w:sz="0" w:space="0" w:color="auto"/>
        <w:left w:val="none" w:sz="0" w:space="0" w:color="auto"/>
        <w:bottom w:val="none" w:sz="0" w:space="0" w:color="auto"/>
        <w:right w:val="none" w:sz="0" w:space="0" w:color="auto"/>
      </w:divBdr>
    </w:div>
    <w:div w:id="120121269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58777255">
      <w:bodyDiv w:val="1"/>
      <w:marLeft w:val="0"/>
      <w:marRight w:val="0"/>
      <w:marTop w:val="0"/>
      <w:marBottom w:val="0"/>
      <w:divBdr>
        <w:top w:val="none" w:sz="0" w:space="0" w:color="auto"/>
        <w:left w:val="none" w:sz="0" w:space="0" w:color="auto"/>
        <w:bottom w:val="none" w:sz="0" w:space="0" w:color="auto"/>
        <w:right w:val="none" w:sz="0" w:space="0" w:color="auto"/>
      </w:divBdr>
      <w:divsChild>
        <w:div w:id="966929889">
          <w:marLeft w:val="0"/>
          <w:marRight w:val="0"/>
          <w:marTop w:val="0"/>
          <w:marBottom w:val="0"/>
          <w:divBdr>
            <w:top w:val="none" w:sz="0" w:space="0" w:color="auto"/>
            <w:left w:val="none" w:sz="0" w:space="0" w:color="auto"/>
            <w:bottom w:val="none" w:sz="0" w:space="0" w:color="auto"/>
            <w:right w:val="none" w:sz="0" w:space="0" w:color="auto"/>
          </w:divBdr>
        </w:div>
        <w:div w:id="1213611552">
          <w:marLeft w:val="0"/>
          <w:marRight w:val="0"/>
          <w:marTop w:val="0"/>
          <w:marBottom w:val="0"/>
          <w:divBdr>
            <w:top w:val="none" w:sz="0" w:space="0" w:color="auto"/>
            <w:left w:val="none" w:sz="0" w:space="0" w:color="auto"/>
            <w:bottom w:val="none" w:sz="0" w:space="0" w:color="auto"/>
            <w:right w:val="none" w:sz="0" w:space="0" w:color="auto"/>
          </w:divBdr>
          <w:divsChild>
            <w:div w:id="743532333">
              <w:marLeft w:val="0"/>
              <w:marRight w:val="0"/>
              <w:marTop w:val="0"/>
              <w:marBottom w:val="0"/>
              <w:divBdr>
                <w:top w:val="none" w:sz="0" w:space="0" w:color="auto"/>
                <w:left w:val="none" w:sz="0" w:space="0" w:color="auto"/>
                <w:bottom w:val="none" w:sz="0" w:space="0" w:color="auto"/>
                <w:right w:val="none" w:sz="0" w:space="0" w:color="auto"/>
              </w:divBdr>
              <w:divsChild>
                <w:div w:id="6606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7569">
          <w:marLeft w:val="0"/>
          <w:marRight w:val="0"/>
          <w:marTop w:val="0"/>
          <w:marBottom w:val="0"/>
          <w:divBdr>
            <w:top w:val="none" w:sz="0" w:space="0" w:color="auto"/>
            <w:left w:val="none" w:sz="0" w:space="0" w:color="auto"/>
            <w:bottom w:val="none" w:sz="0" w:space="0" w:color="auto"/>
            <w:right w:val="none" w:sz="0" w:space="0" w:color="auto"/>
          </w:divBdr>
        </w:div>
        <w:div w:id="370346487">
          <w:marLeft w:val="0"/>
          <w:marRight w:val="0"/>
          <w:marTop w:val="0"/>
          <w:marBottom w:val="0"/>
          <w:divBdr>
            <w:top w:val="none" w:sz="0" w:space="0" w:color="auto"/>
            <w:left w:val="none" w:sz="0" w:space="0" w:color="auto"/>
            <w:bottom w:val="none" w:sz="0" w:space="0" w:color="auto"/>
            <w:right w:val="none" w:sz="0" w:space="0" w:color="auto"/>
          </w:divBdr>
          <w:divsChild>
            <w:div w:id="550993783">
              <w:marLeft w:val="0"/>
              <w:marRight w:val="0"/>
              <w:marTop w:val="0"/>
              <w:marBottom w:val="0"/>
              <w:divBdr>
                <w:top w:val="none" w:sz="0" w:space="0" w:color="auto"/>
                <w:left w:val="none" w:sz="0" w:space="0" w:color="auto"/>
                <w:bottom w:val="none" w:sz="0" w:space="0" w:color="auto"/>
                <w:right w:val="none" w:sz="0" w:space="0" w:color="auto"/>
              </w:divBdr>
              <w:divsChild>
                <w:div w:id="14086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92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1B0FA-287C-4E68-8F3A-8AB1C824FCAA}">
  <ds:schemaRefs>
    <ds:schemaRef ds:uri="http://schemas.openxmlformats.org/officeDocument/2006/bibliography"/>
  </ds:schemaRefs>
</ds:datastoreItem>
</file>

<file path=customXml/itemProps2.xml><?xml version="1.0" encoding="utf-8"?>
<ds:datastoreItem xmlns:ds="http://schemas.openxmlformats.org/officeDocument/2006/customXml" ds:itemID="{4E4CEBDF-3A1E-4D76-BCF4-6DD491479C9F}">
  <ds:schemaRefs>
    <ds:schemaRef ds:uri="http://schemas.microsoft.com/sharepoint/v3/contenttype/forms"/>
  </ds:schemaRefs>
</ds:datastoreItem>
</file>

<file path=customXml/itemProps3.xml><?xml version="1.0" encoding="utf-8"?>
<ds:datastoreItem xmlns:ds="http://schemas.openxmlformats.org/officeDocument/2006/customXml" ds:itemID="{2D8C17C4-9508-4854-AF87-074B9DFE8D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a0c6f25-960b-4ad0-86ba-4742c0ecca1e"/>
    <ds:schemaRef ds:uri="http://purl.org/dc/elements/1.1/"/>
    <ds:schemaRef ds:uri="http://schemas.microsoft.com/office/2006/metadata/properties"/>
    <ds:schemaRef ds:uri="fdb8f1d2-729e-4e17-b922-d1876d49c6d9"/>
    <ds:schemaRef ds:uri="http://www.w3.org/XML/1998/namespace"/>
    <ds:schemaRef ds:uri="http://purl.org/dc/dcmitype/"/>
  </ds:schemaRefs>
</ds:datastoreItem>
</file>

<file path=customXml/itemProps4.xml><?xml version="1.0" encoding="utf-8"?>
<ds:datastoreItem xmlns:ds="http://schemas.openxmlformats.org/officeDocument/2006/customXml" ds:itemID="{EA572EE9-021B-426F-8E17-AECD66FB5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subject/>
  <dc:creator>jmitchell</dc:creator>
  <cp:keywords>OxCityCouncil Report</cp:keywords>
  <dc:description/>
  <cp:lastModifiedBy>COURTNEY Alice</cp:lastModifiedBy>
  <cp:revision>10</cp:revision>
  <cp:lastPrinted>2015-07-03T13:50:00Z</cp:lastPrinted>
  <dcterms:created xsi:type="dcterms:W3CDTF">2023-09-18T10:21:00Z</dcterms:created>
  <dcterms:modified xsi:type="dcterms:W3CDTF">2023-10-02T15:35:00Z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